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pStyle w:val="2"/>
        <w:keepNext w:val="0"/>
        <w:keepLines w:val="0"/>
        <w:spacing w:before="480"/>
      </w:pPr>
      <w:bookmarkStart w:id="0" w:name="_jq6e1dy80o5h" w:colFirst="0" w:colLast="0"/>
      <w:bookmarkEnd w:id="0"/>
      <w:r>
        <w:rPr>
          <w:b/>
          <w:bCs/>
          <w:sz w:val="46"/>
          <w:szCs w:val="46"/>
          <w:rtl w:val="0"/>
        </w:rPr>
        <w:t>Single-Cell Analysis Lecture Summary</w:t>
      </w:r>
    </w:p>
    <w:p w14:paraId="00000002">
      <w:pPr>
        <w:pStyle w:val="3"/>
        <w:keepNext w:val="0"/>
        <w:keepLines w:val="0"/>
        <w:spacing w:after="80"/>
        <w:rPr>
          <w:color w:val="6AA84F"/>
          <w:sz w:val="24"/>
          <w:szCs w:val="24"/>
        </w:rPr>
      </w:pPr>
      <w:bookmarkStart w:id="1" w:name="_vm2dsqcw3eh3" w:colFirst="0" w:colLast="0"/>
      <w:bookmarkEnd w:id="1"/>
      <w:r>
        <w:rPr>
          <w:b/>
          <w:bCs/>
          <w:sz w:val="28"/>
          <w:szCs w:val="28"/>
          <w:rtl w:val="0"/>
        </w:rPr>
        <w:t>Title &amp; Lecture Information</w:t>
      </w:r>
      <w:r>
        <w:rPr>
          <w:sz w:val="24"/>
          <w:szCs w:val="24"/>
          <w:rtl w:val="0"/>
        </w:rPr>
        <w:br w:type="textWrapping"/>
      </w:r>
      <w:r>
        <w:rPr>
          <w:color w:val="6AA84F"/>
          <w:sz w:val="24"/>
          <w:szCs w:val="24"/>
          <w:rtl w:val="0"/>
        </w:rPr>
        <w:t>Single-cell analysis, 26h1</w:t>
      </w:r>
      <w:r>
        <w:rPr>
          <w:color w:val="6AA84F"/>
          <w:sz w:val="24"/>
          <w:szCs w:val="24"/>
          <w:rtl w:val="0"/>
        </w:rPr>
        <w:br w:type="textWrapping"/>
      </w:r>
      <w:r>
        <w:rPr>
          <w:color w:val="6AA84F"/>
          <w:sz w:val="24"/>
          <w:szCs w:val="24"/>
          <w:rtl w:val="0"/>
        </w:rPr>
        <w:t>03/25/26</w:t>
      </w:r>
    </w:p>
    <w:p w14:paraId="00000003">
      <w:pPr>
        <w:pStyle w:val="3"/>
        <w:keepNext w:val="0"/>
        <w:keepLines w:val="0"/>
        <w:spacing w:after="80"/>
        <w:rPr>
          <w:color w:val="F1C232"/>
          <w:sz w:val="28"/>
          <w:szCs w:val="28"/>
        </w:rPr>
      </w:pPr>
      <w:bookmarkStart w:id="2" w:name="_6ggl46ehhfl2" w:colFirst="0" w:colLast="0"/>
      <w:bookmarkEnd w:id="2"/>
      <w:r>
        <w:rPr>
          <w:b/>
          <w:bCs/>
          <w:sz w:val="28"/>
          <w:szCs w:val="28"/>
          <w:rtl w:val="0"/>
        </w:rPr>
        <w:t>1. Objectives of the Lecture</w:t>
      </w:r>
    </w:p>
    <w:p w14:paraId="00000004">
      <w:pPr>
        <w:spacing w:before="240" w:after="240"/>
        <w:rPr>
          <w:color w:val="F1C232"/>
          <w:sz w:val="24"/>
          <w:szCs w:val="24"/>
        </w:rPr>
      </w:pPr>
      <w:r>
        <w:rPr>
          <w:color w:val="F1C232"/>
          <w:sz w:val="24"/>
          <w:szCs w:val="24"/>
          <w:rtl w:val="0"/>
        </w:rPr>
        <w:t>This lecture develops the single-cell RNA-seq analysis pipeline end to end. It motivates why single-cell assays are needed, explains how scRNA-seq data are generated, describes how raw reads become count matrices, and shows how preprocessing, dimensionality reduction, visualization, and trajectory inference reveal biological structure. It concludes by situating these methods in the broader context of single-cell atlases and foundation models.</w:t>
      </w:r>
    </w:p>
    <w:p w14:paraId="00000005">
      <w:pPr>
        <w:spacing w:before="240" w:after="240"/>
        <w:rPr>
          <w:color w:val="F1C232"/>
          <w:sz w:val="24"/>
          <w:szCs w:val="24"/>
        </w:rPr>
      </w:pPr>
      <w:r>
        <w:rPr>
          <w:color w:val="F1C232"/>
          <w:sz w:val="24"/>
          <w:szCs w:val="24"/>
          <w:rtl w:val="0"/>
        </w:rPr>
        <w:t>More specifically, the lecture aims to:</w:t>
      </w:r>
    </w:p>
    <w:p w14:paraId="00000006">
      <w:pPr>
        <w:spacing w:before="240" w:after="240"/>
        <w:rPr>
          <w:color w:val="F1C232"/>
          <w:sz w:val="24"/>
          <w:szCs w:val="24"/>
        </w:rPr>
      </w:pPr>
      <w:r>
        <w:rPr>
          <w:color w:val="F1C232"/>
          <w:sz w:val="24"/>
          <w:szCs w:val="24"/>
          <w:rtl w:val="0"/>
        </w:rPr>
        <w:t>• explain why cellular heterogeneity cannot be resolved by bulk measurements alone;</w:t>
      </w:r>
    </w:p>
    <w:p w14:paraId="00000007">
      <w:pPr>
        <w:spacing w:before="240" w:after="240"/>
        <w:rPr>
          <w:color w:val="F1C232"/>
          <w:sz w:val="24"/>
          <w:szCs w:val="24"/>
        </w:rPr>
      </w:pPr>
      <w:r>
        <w:rPr>
          <w:color w:val="F1C232"/>
          <w:sz w:val="24"/>
          <w:szCs w:val="24"/>
          <w:rtl w:val="0"/>
        </w:rPr>
        <w:t>• compare major scRNA-seq technologies, especially droplet-based and plate-based assays;</w:t>
      </w:r>
    </w:p>
    <w:p w14:paraId="00000008">
      <w:pPr>
        <w:spacing w:before="240" w:after="240"/>
        <w:rPr>
          <w:color w:val="F1C232"/>
          <w:sz w:val="24"/>
          <w:szCs w:val="24"/>
        </w:rPr>
      </w:pPr>
      <w:r>
        <w:rPr>
          <w:color w:val="F1C232"/>
          <w:sz w:val="24"/>
          <w:szCs w:val="24"/>
          <w:rtl w:val="0"/>
        </w:rPr>
        <w:t>• define the standard preprocessing workflow: quality control, normalization, feature selection, PCA, clustering, and visualization;</w:t>
      </w:r>
    </w:p>
    <w:p w14:paraId="00000009">
      <w:pPr>
        <w:spacing w:before="240" w:after="240"/>
        <w:rPr>
          <w:color w:val="F1C232"/>
          <w:sz w:val="24"/>
          <w:szCs w:val="24"/>
        </w:rPr>
      </w:pPr>
      <w:r>
        <w:rPr>
          <w:color w:val="F1C232"/>
          <w:sz w:val="24"/>
          <w:szCs w:val="24"/>
          <w:rtl w:val="0"/>
        </w:rPr>
        <w:t>• introduce trajectory methods such as Monocle and RNA velocity for modeling dynamic biological processes;</w:t>
      </w:r>
    </w:p>
    <w:p w14:paraId="00000012">
      <w:pPr>
        <w:spacing w:before="240" w:after="240"/>
        <w:rPr>
          <w:color w:val="FF0000"/>
          <w:sz w:val="24"/>
          <w:szCs w:val="24"/>
        </w:rPr>
      </w:pPr>
      <w:r>
        <w:rPr>
          <w:color w:val="F1C232"/>
          <w:sz w:val="24"/>
          <w:szCs w:val="24"/>
          <w:rtl w:val="0"/>
        </w:rPr>
        <w:t>• connect classical single-cell workflows to emerging atlas-scale reference resources and foundation-model approaches</w:t>
      </w:r>
      <w:bookmarkStart w:id="3" w:name="_x7jb2ub15khg" w:colFirst="0" w:colLast="0"/>
      <w:bookmarkEnd w:id="3"/>
    </w:p>
    <w:p w14:paraId="00000013">
      <w:pPr>
        <w:pStyle w:val="2"/>
        <w:keepNext w:val="0"/>
        <w:keepLines w:val="0"/>
        <w:numPr>
          <w:ilvl w:val="0"/>
          <w:numId w:val="1"/>
        </w:numPr>
        <w:spacing w:before="480"/>
        <w:rPr>
          <w:color w:val="auto"/>
          <w:sz w:val="28"/>
          <w:szCs w:val="28"/>
        </w:rPr>
      </w:pPr>
      <w:bookmarkStart w:id="4" w:name="_6chibj5k953d" w:colFirst="0" w:colLast="0"/>
      <w:bookmarkEnd w:id="4"/>
      <w:r>
        <w:rPr>
          <w:b/>
          <w:bCs/>
          <w:color w:val="auto"/>
          <w:sz w:val="28"/>
          <w:szCs w:val="28"/>
          <w:rtl w:val="0"/>
        </w:rPr>
        <w:t>Key Concepts &amp; Definitions</w:t>
      </w:r>
    </w:p>
    <w:p w14:paraId="00000014">
      <w:pPr>
        <w:spacing w:before="240" w:after="240"/>
        <w:rPr>
          <w:color w:val="FF0000"/>
          <w:sz w:val="24"/>
          <w:szCs w:val="24"/>
        </w:rPr>
      </w:pPr>
      <w:r>
        <w:rPr>
          <w:b/>
          <w:bCs/>
          <w:color w:val="FF0000"/>
          <w:sz w:val="24"/>
          <w:szCs w:val="24"/>
          <w:rtl w:val="0"/>
        </w:rPr>
        <w:t>Single-cell assay</w:t>
      </w:r>
      <w:r>
        <w:rPr>
          <w:b/>
          <w:bCs/>
          <w:color w:val="FF0000"/>
          <w:sz w:val="24"/>
          <w:szCs w:val="24"/>
          <w:rtl w:val="0"/>
        </w:rPr>
        <w:br w:type="textWrapping"/>
      </w:r>
      <w:r>
        <w:rPr>
          <w:color w:val="FF0000"/>
          <w:sz w:val="24"/>
          <w:szCs w:val="24"/>
          <w:rtl w:val="0"/>
        </w:rPr>
        <w:t xml:space="preserve"> Any experimental measurement where the cell (or nucleus) is the unit of observation; output is typically a cells × features matrix rather than a bulk average.</w:t>
      </w:r>
    </w:p>
    <w:p w14:paraId="00000015">
      <w:pPr>
        <w:spacing w:before="240" w:after="240"/>
        <w:rPr>
          <w:color w:val="FF0000"/>
          <w:sz w:val="24"/>
          <w:szCs w:val="24"/>
        </w:rPr>
      </w:pPr>
      <w:r>
        <w:rPr>
          <w:b/>
          <w:bCs/>
          <w:color w:val="FF0000"/>
          <w:sz w:val="24"/>
          <w:szCs w:val="24"/>
          <w:rtl w:val="0"/>
        </w:rPr>
        <w:t>Bulk vs single-cell</w:t>
      </w:r>
      <w:r>
        <w:rPr>
          <w:b/>
          <w:bCs/>
          <w:color w:val="FF0000"/>
          <w:sz w:val="24"/>
          <w:szCs w:val="24"/>
          <w:rtl w:val="0"/>
        </w:rPr>
        <w:br w:type="textWrapping"/>
      </w:r>
      <w:r>
        <w:rPr>
          <w:color w:val="FF0000"/>
          <w:sz w:val="24"/>
          <w:szCs w:val="24"/>
          <w:rtl w:val="0"/>
        </w:rPr>
        <w:t xml:space="preserve"> Bulk profiles average many cells, so cell-type mixtures and rare states can be “washed out”; single-cell explicitly represents heterogeneity across cells.</w:t>
      </w:r>
    </w:p>
    <w:p w14:paraId="00000016">
      <w:pPr>
        <w:spacing w:before="240" w:after="240"/>
        <w:rPr>
          <w:color w:val="FF0000"/>
          <w:sz w:val="24"/>
          <w:szCs w:val="24"/>
        </w:rPr>
      </w:pPr>
      <w:r>
        <w:rPr>
          <w:b/>
          <w:bCs/>
          <w:color w:val="FF0000"/>
          <w:sz w:val="24"/>
          <w:szCs w:val="24"/>
          <w:rtl w:val="0"/>
        </w:rPr>
        <w:t>Cell type vs cell state</w:t>
      </w:r>
      <w:r>
        <w:rPr>
          <w:b/>
          <w:bCs/>
          <w:color w:val="FF0000"/>
          <w:sz w:val="24"/>
          <w:szCs w:val="24"/>
          <w:rtl w:val="0"/>
        </w:rPr>
        <w:br w:type="textWrapping"/>
      </w:r>
      <w:r>
        <w:rPr>
          <w:color w:val="FF0000"/>
          <w:sz w:val="24"/>
          <w:szCs w:val="24"/>
          <w:rtl w:val="0"/>
        </w:rPr>
        <w:t xml:space="preserve"> Cell type is a relatively stable identity (e.g., B cell vs T cell); cell state is a context-dependent configuration (activation, stress response, cell cycle) that can vary within a type.</w:t>
      </w:r>
    </w:p>
    <w:p w14:paraId="00000017">
      <w:pPr>
        <w:spacing w:before="240" w:after="240"/>
        <w:rPr>
          <w:color w:val="FF0000"/>
          <w:sz w:val="24"/>
          <w:szCs w:val="24"/>
        </w:rPr>
      </w:pPr>
      <w:r>
        <w:rPr>
          <w:b/>
          <w:bCs/>
          <w:color w:val="FF0000"/>
          <w:sz w:val="24"/>
          <w:szCs w:val="24"/>
          <w:rtl w:val="0"/>
        </w:rPr>
        <w:t>Cell barcode</w:t>
      </w:r>
      <w:r>
        <w:rPr>
          <w:b/>
          <w:bCs/>
          <w:color w:val="FF0000"/>
          <w:sz w:val="24"/>
          <w:szCs w:val="24"/>
          <w:rtl w:val="0"/>
        </w:rPr>
        <w:br w:type="textWrapping"/>
      </w:r>
      <w:r>
        <w:rPr>
          <w:color w:val="FF0000"/>
          <w:sz w:val="24"/>
          <w:szCs w:val="24"/>
          <w:rtl w:val="0"/>
        </w:rPr>
        <w:t xml:space="preserve"> A sequence tag that identifies which reads belong to the same cell, enabling pooling of thousands of cells in one sequencing run.</w:t>
      </w:r>
    </w:p>
    <w:p w14:paraId="00000018">
      <w:pPr>
        <w:spacing w:before="240" w:after="240"/>
        <w:rPr>
          <w:color w:val="FF0000"/>
          <w:sz w:val="24"/>
          <w:szCs w:val="24"/>
        </w:rPr>
      </w:pPr>
      <w:r>
        <w:rPr>
          <w:b/>
          <w:bCs/>
          <w:color w:val="FF0000"/>
          <w:sz w:val="24"/>
          <w:szCs w:val="24"/>
          <w:rtl w:val="0"/>
        </w:rPr>
        <w:t>UMI</w:t>
      </w:r>
      <w:r>
        <w:rPr>
          <w:b/>
          <w:bCs/>
          <w:color w:val="FF0000"/>
          <w:sz w:val="24"/>
          <w:szCs w:val="24"/>
          <w:rtl w:val="0"/>
        </w:rPr>
        <w:br w:type="textWrapping"/>
      </w:r>
      <w:r>
        <w:rPr>
          <w:color w:val="FF0000"/>
          <w:sz w:val="24"/>
          <w:szCs w:val="24"/>
          <w:rtl w:val="0"/>
        </w:rPr>
        <w:t xml:space="preserve"> A short random tag attached to each captured molecule so PCR duplicates can be collapsed, improving molecule counting.</w:t>
      </w:r>
    </w:p>
    <w:p w14:paraId="00000019">
      <w:pPr>
        <w:spacing w:before="240" w:after="240"/>
        <w:rPr>
          <w:color w:val="FF0000"/>
          <w:sz w:val="24"/>
          <w:szCs w:val="24"/>
        </w:rPr>
      </w:pPr>
      <w:r>
        <w:rPr>
          <w:b/>
          <w:bCs/>
          <w:color w:val="FF0000"/>
          <w:sz w:val="24"/>
          <w:szCs w:val="24"/>
          <w:rtl w:val="0"/>
        </w:rPr>
        <w:t>Dropout</w:t>
      </w:r>
      <w:r>
        <w:rPr>
          <w:b/>
          <w:bCs/>
          <w:color w:val="FF0000"/>
          <w:sz w:val="24"/>
          <w:szCs w:val="24"/>
          <w:rtl w:val="0"/>
        </w:rPr>
        <w:br w:type="textWrapping"/>
      </w:r>
      <w:r>
        <w:rPr>
          <w:color w:val="FF0000"/>
          <w:sz w:val="24"/>
          <w:szCs w:val="24"/>
          <w:rtl w:val="0"/>
        </w:rPr>
        <w:t xml:space="preserve"> A transcript present in a cell is not detected (often due to limited capture/sequencing and stochastic sampling), producing many zeros.</w:t>
      </w:r>
    </w:p>
    <w:p w14:paraId="0000001A">
      <w:pPr>
        <w:spacing w:before="240" w:after="240"/>
        <w:rPr>
          <w:color w:val="FF0000"/>
          <w:sz w:val="24"/>
          <w:szCs w:val="24"/>
        </w:rPr>
      </w:pPr>
      <w:r>
        <w:rPr>
          <w:b/>
          <w:bCs/>
          <w:color w:val="FF0000"/>
          <w:sz w:val="24"/>
          <w:szCs w:val="24"/>
          <w:rtl w:val="0"/>
        </w:rPr>
        <w:t>Doublet</w:t>
      </w:r>
      <w:r>
        <w:rPr>
          <w:b/>
          <w:bCs/>
          <w:color w:val="FF0000"/>
          <w:sz w:val="24"/>
          <w:szCs w:val="24"/>
          <w:rtl w:val="0"/>
        </w:rPr>
        <w:br w:type="textWrapping"/>
      </w:r>
      <w:r>
        <w:rPr>
          <w:color w:val="FF0000"/>
          <w:sz w:val="24"/>
          <w:szCs w:val="24"/>
          <w:rtl w:val="0"/>
        </w:rPr>
        <w:t xml:space="preserve"> Two (or more) cells captured as one, creating mixed-marker profiles that can mimic “hybrid” states.</w:t>
      </w:r>
    </w:p>
    <w:p w14:paraId="0000001B">
      <w:pPr>
        <w:spacing w:before="240" w:after="240"/>
        <w:rPr>
          <w:color w:val="FF0000"/>
          <w:sz w:val="24"/>
          <w:szCs w:val="24"/>
        </w:rPr>
      </w:pPr>
      <w:r>
        <w:rPr>
          <w:b/>
          <w:bCs/>
          <w:color w:val="FF0000"/>
          <w:sz w:val="24"/>
          <w:szCs w:val="24"/>
          <w:rtl w:val="0"/>
        </w:rPr>
        <w:t>Library size</w:t>
      </w:r>
      <w:r>
        <w:rPr>
          <w:b/>
          <w:bCs/>
          <w:color w:val="FF0000"/>
          <w:sz w:val="24"/>
          <w:szCs w:val="24"/>
          <w:rtl w:val="0"/>
        </w:rPr>
        <w:br w:type="textWrapping"/>
      </w:r>
      <w:r>
        <w:rPr>
          <w:color w:val="FF0000"/>
          <w:sz w:val="24"/>
          <w:szCs w:val="24"/>
          <w:rtl w:val="0"/>
        </w:rPr>
        <w:t xml:space="preserve"> Total counts per cell; a proxy for capture/sequencing depth that must be accounted for in normalization.</w:t>
      </w:r>
    </w:p>
    <w:p w14:paraId="0000001C">
      <w:pPr>
        <w:spacing w:before="240" w:after="240"/>
        <w:rPr>
          <w:color w:val="FF0000"/>
          <w:sz w:val="24"/>
          <w:szCs w:val="24"/>
        </w:rPr>
      </w:pPr>
      <w:r>
        <w:rPr>
          <w:b/>
          <w:bCs/>
          <w:color w:val="FF0000"/>
          <w:sz w:val="24"/>
          <w:szCs w:val="24"/>
          <w:rtl w:val="0"/>
        </w:rPr>
        <w:t>Batch effect</w:t>
      </w:r>
      <w:r>
        <w:rPr>
          <w:b/>
          <w:bCs/>
          <w:color w:val="FF0000"/>
          <w:sz w:val="24"/>
          <w:szCs w:val="24"/>
          <w:rtl w:val="0"/>
        </w:rPr>
        <w:br w:type="textWrapping"/>
      </w:r>
      <w:r>
        <w:rPr>
          <w:color w:val="FF0000"/>
          <w:sz w:val="24"/>
          <w:szCs w:val="24"/>
          <w:rtl w:val="0"/>
        </w:rPr>
        <w:t xml:space="preserve"> Systematic differences induced by run, donor, site, chemistry, etc., that can dominate biological signals.</w:t>
      </w:r>
    </w:p>
    <w:p w14:paraId="0000001D">
      <w:pPr>
        <w:spacing w:before="240" w:after="240"/>
        <w:rPr>
          <w:color w:val="FF0000"/>
          <w:sz w:val="24"/>
          <w:szCs w:val="24"/>
        </w:rPr>
      </w:pPr>
      <w:r>
        <w:rPr>
          <w:b/>
          <w:bCs/>
          <w:color w:val="FF0000"/>
          <w:sz w:val="24"/>
          <w:szCs w:val="24"/>
          <w:rtl w:val="0"/>
        </w:rPr>
        <w:t>Integration</w:t>
      </w:r>
      <w:r>
        <w:rPr>
          <w:b/>
          <w:bCs/>
          <w:color w:val="FF0000"/>
          <w:sz w:val="24"/>
          <w:szCs w:val="24"/>
          <w:rtl w:val="0"/>
        </w:rPr>
        <w:br w:type="textWrapping"/>
      </w:r>
      <w:r>
        <w:rPr>
          <w:color w:val="FF0000"/>
          <w:sz w:val="24"/>
          <w:szCs w:val="24"/>
          <w:rtl w:val="0"/>
        </w:rPr>
        <w:t xml:space="preserve"> Methods that align datasets so that cells group by biology (type/state) rather than by batch/technology.</w:t>
      </w:r>
    </w:p>
    <w:p w14:paraId="0000001E">
      <w:pPr>
        <w:spacing w:before="240" w:after="240"/>
        <w:rPr>
          <w:color w:val="FF0000"/>
          <w:sz w:val="24"/>
          <w:szCs w:val="24"/>
        </w:rPr>
      </w:pPr>
      <w:r>
        <w:rPr>
          <w:b/>
          <w:bCs/>
          <w:color w:val="FF0000"/>
          <w:sz w:val="24"/>
          <w:szCs w:val="24"/>
          <w:rtl w:val="0"/>
        </w:rPr>
        <w:t>kNN graph</w:t>
      </w:r>
      <w:r>
        <w:rPr>
          <w:b/>
          <w:bCs/>
          <w:color w:val="FF0000"/>
          <w:sz w:val="24"/>
          <w:szCs w:val="24"/>
          <w:rtl w:val="0"/>
        </w:rPr>
        <w:br w:type="textWrapping"/>
      </w:r>
      <w:r>
        <w:rPr>
          <w:color w:val="FF0000"/>
          <w:sz w:val="24"/>
          <w:szCs w:val="24"/>
          <w:rtl w:val="0"/>
        </w:rPr>
        <w:t xml:space="preserve"> Graph where each cell connects to its k nearest neighbors (often in PCA space); many clustering/trajectory tools operate on this graph.</w:t>
      </w:r>
    </w:p>
    <w:p w14:paraId="0000001F">
      <w:pPr>
        <w:spacing w:before="240" w:after="240"/>
        <w:rPr>
          <w:color w:val="FF0000"/>
          <w:sz w:val="24"/>
          <w:szCs w:val="24"/>
        </w:rPr>
      </w:pPr>
      <w:r>
        <w:rPr>
          <w:b/>
          <w:bCs/>
          <w:color w:val="FF0000"/>
          <w:sz w:val="24"/>
          <w:szCs w:val="24"/>
          <w:rtl w:val="0"/>
        </w:rPr>
        <w:t>Embedding (t-SNE/UMAP)</w:t>
      </w:r>
      <w:r>
        <w:rPr>
          <w:b/>
          <w:bCs/>
          <w:color w:val="FF0000"/>
          <w:sz w:val="24"/>
          <w:szCs w:val="24"/>
          <w:rtl w:val="0"/>
        </w:rPr>
        <w:br w:type="textWrapping"/>
      </w:r>
      <w:r>
        <w:rPr>
          <w:color w:val="FF0000"/>
          <w:sz w:val="24"/>
          <w:szCs w:val="24"/>
          <w:rtl w:val="0"/>
        </w:rPr>
        <w:t xml:space="preserve"> Low-dimensional visualization that preserves local neighborhoods; valuable diagnostically, but not a full statistical model of biology.</w:t>
      </w:r>
    </w:p>
    <w:p w14:paraId="00000020">
      <w:pPr>
        <w:spacing w:before="240" w:after="240"/>
        <w:rPr>
          <w:color w:val="FF0000"/>
          <w:sz w:val="24"/>
          <w:szCs w:val="24"/>
        </w:rPr>
      </w:pPr>
      <w:r>
        <w:rPr>
          <w:b/>
          <w:bCs/>
          <w:color w:val="FF0000"/>
          <w:sz w:val="24"/>
          <w:szCs w:val="24"/>
          <w:rtl w:val="0"/>
        </w:rPr>
        <w:t>Pseudotime</w:t>
      </w:r>
      <w:r>
        <w:rPr>
          <w:b/>
          <w:bCs/>
          <w:color w:val="FF0000"/>
          <w:sz w:val="24"/>
          <w:szCs w:val="24"/>
          <w:rtl w:val="0"/>
        </w:rPr>
        <w:br w:type="textWrapping"/>
      </w:r>
      <w:r>
        <w:rPr>
          <w:color w:val="FF0000"/>
          <w:sz w:val="24"/>
          <w:szCs w:val="24"/>
          <w:rtl w:val="0"/>
        </w:rPr>
        <w:t xml:space="preserve"> An inferred ordering of cells along a continuum (e.g., differentiation) that is not necessarily a physical clock.</w:t>
      </w:r>
    </w:p>
    <w:p w14:paraId="00000021">
      <w:pPr>
        <w:spacing w:before="240" w:after="240"/>
        <w:rPr>
          <w:color w:val="FF0000"/>
          <w:sz w:val="24"/>
          <w:szCs w:val="24"/>
        </w:rPr>
      </w:pPr>
      <w:r>
        <w:rPr>
          <w:b/>
          <w:bCs/>
          <w:color w:val="FF0000"/>
          <w:sz w:val="24"/>
          <w:szCs w:val="24"/>
          <w:rtl w:val="0"/>
        </w:rPr>
        <w:t>RNA velocity</w:t>
      </w:r>
      <w:r>
        <w:rPr>
          <w:b/>
          <w:bCs/>
          <w:color w:val="FF0000"/>
          <w:sz w:val="24"/>
          <w:szCs w:val="24"/>
          <w:rtl w:val="0"/>
        </w:rPr>
        <w:br w:type="textWrapping"/>
      </w:r>
      <w:r>
        <w:rPr>
          <w:color w:val="FF0000"/>
          <w:sz w:val="24"/>
          <w:szCs w:val="24"/>
          <w:rtl w:val="0"/>
        </w:rPr>
        <w:t xml:space="preserve"> A direction estimate in expression space derived from spliced vs unspliced RNA, intended to predict short-term future state changes.</w:t>
      </w:r>
    </w:p>
    <w:p w14:paraId="00000022">
      <w:pPr>
        <w:spacing w:before="240" w:after="240"/>
        <w:rPr>
          <w:color w:val="FF0000"/>
          <w:sz w:val="24"/>
          <w:szCs w:val="24"/>
        </w:rPr>
      </w:pPr>
      <w:r>
        <w:rPr>
          <w:color w:val="FF0000"/>
          <w:sz w:val="24"/>
          <w:szCs w:val="24"/>
          <w:rtl w:val="0"/>
        </w:rPr>
        <w:t>The definitions above reflect consensus language used in widely cited reviews/tutorials and core methods papers.</w:t>
      </w:r>
    </w:p>
    <w:p w14:paraId="00000023">
      <w:pPr>
        <w:spacing w:before="240" w:after="240"/>
        <w:rPr>
          <w:color w:val="FF0000"/>
          <w:sz w:val="24"/>
          <w:szCs w:val="24"/>
        </w:rPr>
      </w:pPr>
      <w:r>
        <w:rPr>
          <w:color w:val="FF0000"/>
          <w:sz w:val="24"/>
          <w:szCs w:val="24"/>
          <w:rtl w:val="0"/>
        </w:rPr>
        <w:t>(https://pubmed.ncbi.nlm.nih.gov/19349980/)</w:t>
      </w:r>
    </w:p>
    <w:p w14:paraId="00000024">
      <w:pPr>
        <w:spacing w:before="240" w:after="240"/>
        <w:rPr>
          <w:sz w:val="28"/>
          <w:szCs w:val="28"/>
        </w:rPr>
      </w:pPr>
    </w:p>
    <w:p w14:paraId="00000025">
      <w:pPr>
        <w:rPr>
          <w:sz w:val="28"/>
          <w:szCs w:val="28"/>
        </w:rPr>
      </w:pPr>
      <w:r>
        <w:rPr>
          <w:b/>
          <w:bCs/>
          <w:sz w:val="28"/>
          <w:szCs w:val="28"/>
          <w:rtl w:val="0"/>
        </w:rPr>
        <w:t>3. Main Content / Topics</w:t>
      </w:r>
    </w:p>
    <w:p w14:paraId="00000026">
      <w:pPr>
        <w:pStyle w:val="4"/>
        <w:keepNext w:val="0"/>
        <w:keepLines w:val="0"/>
        <w:spacing w:before="280"/>
        <w:rPr>
          <w:b/>
          <w:bCs/>
          <w:color w:val="000000"/>
          <w:sz w:val="24"/>
          <w:szCs w:val="24"/>
        </w:rPr>
      </w:pPr>
      <w:bookmarkStart w:id="5" w:name="_lq78jksg94i2" w:colFirst="0" w:colLast="0"/>
      <w:bookmarkEnd w:id="5"/>
      <w:r>
        <w:rPr>
          <w:b/>
          <w:bCs/>
          <w:color w:val="000000"/>
          <w:sz w:val="24"/>
          <w:szCs w:val="24"/>
          <w:rtl w:val="0"/>
        </w:rPr>
        <w:t>3.1 Why Single-Cell Analysis</w:t>
      </w:r>
    </w:p>
    <w:p w14:paraId="00000027">
      <w:pPr>
        <w:spacing w:before="240" w:after="240"/>
        <w:rPr>
          <w:color w:val="F1C232"/>
          <w:sz w:val="24"/>
          <w:szCs w:val="24"/>
        </w:rPr>
      </w:pPr>
      <w:r>
        <w:rPr>
          <w:sz w:val="24"/>
          <w:szCs w:val="24"/>
          <w:rtl w:val="0"/>
        </w:rPr>
        <w:br w:type="textWrapping"/>
      </w:r>
      <w:r>
        <w:rPr>
          <w:color w:val="F1C232"/>
          <w:sz w:val="24"/>
          <w:szCs w:val="24"/>
          <w:rtl w:val="0"/>
        </w:rPr>
        <w:t>The lecture opens from a functional-genomics perspective. DNA sequence is largely static and shared across cells, but cellular function differs because molecular phenotypes are context dependent. RNA-seq is therefore a natural starting point: mRNA abundance provides a cell-state-dependent readout of gene activity.</w:t>
      </w:r>
    </w:p>
    <w:p w14:paraId="00000028">
      <w:pPr>
        <w:spacing w:before="240" w:after="240"/>
        <w:rPr>
          <w:color w:val="F1C232"/>
          <w:sz w:val="24"/>
          <w:szCs w:val="24"/>
        </w:rPr>
      </w:pPr>
      <w:r>
        <w:rPr>
          <w:color w:val="F1C232"/>
          <w:sz w:val="24"/>
          <w:szCs w:val="24"/>
          <w:rtl w:val="0"/>
        </w:rPr>
        <w:t>A key framing slide contrasts three measurement resolutions:</w:t>
      </w:r>
    </w:p>
    <w:p w14:paraId="00000029">
      <w:pPr>
        <w:spacing w:before="240" w:after="240"/>
        <w:rPr>
          <w:color w:val="F1C232"/>
          <w:sz w:val="24"/>
          <w:szCs w:val="24"/>
        </w:rPr>
      </w:pPr>
      <w:r>
        <w:rPr>
          <w:color w:val="F1C232"/>
          <w:sz w:val="24"/>
          <w:szCs w:val="24"/>
          <w:rtl w:val="0"/>
        </w:rPr>
        <w:t>• Bulk: mixed or averaged measurements across many cells;</w:t>
      </w:r>
      <w:r>
        <w:rPr>
          <w:color w:val="F1C232"/>
          <w:sz w:val="24"/>
          <w:szCs w:val="24"/>
          <w:rtl w:val="0"/>
        </w:rPr>
        <w:br w:type="textWrapping"/>
      </w:r>
      <w:r>
        <w:rPr>
          <w:color w:val="F1C232"/>
          <w:sz w:val="24"/>
          <w:szCs w:val="24"/>
          <w:rtl w:val="0"/>
        </w:rPr>
        <w:t xml:space="preserve"> • Single cell: measurements resolved at the level of individual cells;</w:t>
      </w:r>
      <w:r>
        <w:rPr>
          <w:color w:val="F1C232"/>
          <w:sz w:val="24"/>
          <w:szCs w:val="24"/>
          <w:rtl w:val="0"/>
        </w:rPr>
        <w:br w:type="textWrapping"/>
      </w:r>
      <w:r>
        <w:rPr>
          <w:color w:val="F1C232"/>
          <w:sz w:val="24"/>
          <w:szCs w:val="24"/>
          <w:rtl w:val="0"/>
        </w:rPr>
        <w:t xml:space="preserve"> • Spatial: measurements that retain spatial context inside tissue.</w:t>
      </w:r>
    </w:p>
    <w:p w14:paraId="0000002A">
      <w:pPr>
        <w:spacing w:before="240" w:after="240"/>
        <w:rPr>
          <w:color w:val="F1C232"/>
          <w:sz w:val="24"/>
          <w:szCs w:val="24"/>
        </w:rPr>
      </w:pPr>
      <w:r>
        <w:rPr>
          <w:color w:val="F1C232"/>
          <w:sz w:val="24"/>
          <w:szCs w:val="24"/>
          <w:rtl w:val="0"/>
        </w:rPr>
        <w:t>The central point is that bulk data obscure heterogeneity, whereas single-cell data expose distinct cell types, transitional states, and rare populations.</w:t>
      </w:r>
    </w:p>
    <w:p w14:paraId="0000002B">
      <w:pPr>
        <w:spacing w:before="240" w:after="240"/>
        <w:rPr>
          <w:b/>
          <w:bCs/>
          <w:color w:val="4A86E8"/>
          <w:sz w:val="24"/>
          <w:szCs w:val="24"/>
        </w:rPr>
      </w:pPr>
      <w:r>
        <w:rPr>
          <w:color w:val="4A86E8"/>
          <w:sz w:val="24"/>
          <w:szCs w:val="24"/>
          <w:rtl w:val="0"/>
        </w:rPr>
        <w:t>Single-cell data can also capture cell-to-cell variability that reflects stochastic gene expression and regulatory noise.</w:t>
      </w:r>
    </w:p>
    <w:p w14:paraId="0000002C">
      <w:pPr>
        <w:spacing w:before="240" w:after="240"/>
        <w:rPr>
          <w:b/>
          <w:bCs/>
          <w:color w:val="6AA84F"/>
          <w:sz w:val="24"/>
          <w:szCs w:val="24"/>
        </w:rPr>
      </w:pPr>
      <w:r>
        <w:rPr>
          <w:b/>
          <w:bCs/>
          <w:color w:val="000000"/>
          <w:sz w:val="24"/>
          <w:szCs w:val="24"/>
          <w:rtl w:val="0"/>
        </w:rPr>
        <w:t>3.2 scRNA-seq Technologies</w:t>
      </w:r>
      <w:r>
        <w:rPr>
          <w:sz w:val="24"/>
          <w:szCs w:val="24"/>
          <w:rtl w:val="0"/>
        </w:rPr>
        <w:br w:type="textWrapping"/>
      </w:r>
      <w:r>
        <w:rPr>
          <w:b/>
          <w:bCs/>
          <w:color w:val="6AA84F"/>
          <w:sz w:val="24"/>
          <w:szCs w:val="24"/>
          <w:rtl w:val="0"/>
        </w:rPr>
        <w:t>Droplet-based:</w:t>
      </w:r>
    </w:p>
    <w:p w14:paraId="0000002D">
      <w:pPr>
        <w:numPr>
          <w:ilvl w:val="0"/>
          <w:numId w:val="2"/>
        </w:numPr>
        <w:spacing w:before="240" w:after="0" w:afterAutospacing="0"/>
        <w:ind w:left="720" w:hanging="360"/>
        <w:rPr>
          <w:color w:val="6AA84F"/>
          <w:sz w:val="24"/>
          <w:szCs w:val="24"/>
        </w:rPr>
      </w:pPr>
      <w:r>
        <w:rPr>
          <w:color w:val="6AA84F"/>
          <w:sz w:val="24"/>
          <w:szCs w:val="24"/>
          <w:rtl w:val="0"/>
        </w:rPr>
        <w:t>cells are encapsulated into micron-size droplets using microfluidics system</w:t>
      </w:r>
    </w:p>
    <w:p w14:paraId="0000002E">
      <w:pPr>
        <w:numPr>
          <w:ilvl w:val="0"/>
          <w:numId w:val="2"/>
        </w:numPr>
        <w:spacing w:before="0" w:beforeAutospacing="0" w:after="0" w:afterAutospacing="0"/>
        <w:ind w:left="720" w:hanging="360"/>
        <w:rPr>
          <w:color w:val="6AA84F"/>
          <w:sz w:val="24"/>
          <w:szCs w:val="24"/>
        </w:rPr>
      </w:pPr>
      <w:r>
        <w:rPr>
          <w:color w:val="6AA84F"/>
          <w:sz w:val="24"/>
          <w:szCs w:val="24"/>
          <w:rtl w:val="0"/>
        </w:rPr>
        <w:t>Higher-throughput, limited isoform resolution</w:t>
      </w:r>
    </w:p>
    <w:p w14:paraId="0000002F">
      <w:pPr>
        <w:numPr>
          <w:ilvl w:val="0"/>
          <w:numId w:val="2"/>
        </w:numPr>
        <w:spacing w:before="0" w:beforeAutospacing="0" w:after="0" w:afterAutospacing="0"/>
        <w:ind w:left="720" w:hanging="360"/>
        <w:rPr>
          <w:color w:val="6AA84F"/>
          <w:sz w:val="24"/>
          <w:szCs w:val="24"/>
        </w:rPr>
      </w:pPr>
      <w:r>
        <w:rPr>
          <w:color w:val="6AA84F"/>
          <w:sz w:val="24"/>
          <w:szCs w:val="24"/>
          <w:rtl w:val="0"/>
        </w:rPr>
        <w:t>Each droplet is a reaction chamber</w:t>
      </w:r>
    </w:p>
    <w:p w14:paraId="00000030">
      <w:pPr>
        <w:numPr>
          <w:ilvl w:val="1"/>
          <w:numId w:val="2"/>
        </w:numPr>
        <w:spacing w:before="0" w:beforeAutospacing="0" w:after="0" w:afterAutospacing="0"/>
        <w:ind w:left="1440" w:hanging="360"/>
        <w:rPr>
          <w:color w:val="6AA84F"/>
          <w:sz w:val="24"/>
          <w:szCs w:val="24"/>
        </w:rPr>
      </w:pPr>
      <w:r>
        <w:rPr>
          <w:color w:val="6AA84F"/>
          <w:sz w:val="24"/>
          <w:szCs w:val="24"/>
          <w:rtl w:val="0"/>
        </w:rPr>
        <w:t>Barcoded oligos are released</w:t>
      </w:r>
    </w:p>
    <w:p w14:paraId="00000031">
      <w:pPr>
        <w:numPr>
          <w:ilvl w:val="1"/>
          <w:numId w:val="2"/>
        </w:numPr>
        <w:spacing w:before="0" w:beforeAutospacing="0" w:after="0" w:afterAutospacing="0"/>
        <w:ind w:left="1440" w:hanging="360"/>
        <w:rPr>
          <w:color w:val="6AA84F"/>
          <w:sz w:val="24"/>
          <w:szCs w:val="24"/>
        </w:rPr>
      </w:pPr>
      <w:r>
        <w:rPr>
          <w:color w:val="6AA84F"/>
          <w:sz w:val="24"/>
          <w:szCs w:val="24"/>
          <w:rtl w:val="0"/>
        </w:rPr>
        <w:t>cDNA synthesis</w:t>
      </w:r>
    </w:p>
    <w:p w14:paraId="00000032">
      <w:pPr>
        <w:numPr>
          <w:ilvl w:val="1"/>
          <w:numId w:val="2"/>
        </w:numPr>
        <w:spacing w:before="0" w:beforeAutospacing="0" w:after="0" w:afterAutospacing="0"/>
        <w:ind w:left="1440" w:hanging="360"/>
        <w:rPr>
          <w:color w:val="6AA84F"/>
          <w:sz w:val="24"/>
          <w:szCs w:val="24"/>
        </w:rPr>
      </w:pPr>
      <w:r>
        <w:rPr>
          <w:color w:val="6AA84F"/>
          <w:sz w:val="24"/>
          <w:szCs w:val="24"/>
          <w:rtl w:val="0"/>
        </w:rPr>
        <w:t>Barcoded oligos generate cDNA via RT</w:t>
      </w:r>
    </w:p>
    <w:p w14:paraId="00000033">
      <w:pPr>
        <w:numPr>
          <w:ilvl w:val="1"/>
          <w:numId w:val="2"/>
        </w:numPr>
        <w:spacing w:before="0" w:beforeAutospacing="0" w:after="0" w:afterAutospacing="0"/>
        <w:ind w:left="1440" w:hanging="360"/>
        <w:rPr>
          <w:color w:val="6AA84F"/>
          <w:sz w:val="24"/>
          <w:szCs w:val="24"/>
        </w:rPr>
      </w:pPr>
      <w:r>
        <w:rPr>
          <w:color w:val="6AA84F"/>
          <w:sz w:val="24"/>
          <w:szCs w:val="24"/>
          <w:rtl w:val="0"/>
        </w:rPr>
        <w:t>Pool and sequence barcoded cDNA</w:t>
      </w:r>
    </w:p>
    <w:p w14:paraId="00000034">
      <w:pPr>
        <w:numPr>
          <w:ilvl w:val="0"/>
          <w:numId w:val="2"/>
        </w:numPr>
        <w:spacing w:before="0" w:beforeAutospacing="0" w:after="0" w:afterAutospacing="0"/>
        <w:ind w:left="720" w:hanging="360"/>
        <w:rPr>
          <w:color w:val="6AA84F"/>
          <w:sz w:val="24"/>
          <w:szCs w:val="24"/>
        </w:rPr>
      </w:pPr>
      <w:r>
        <w:rPr>
          <w:color w:val="6AA84F"/>
          <w:sz w:val="24"/>
          <w:szCs w:val="24"/>
          <w:rtl w:val="0"/>
        </w:rPr>
        <w:t>Cells are encapsulated into micron-sized droplets using microfluidics system</w:t>
      </w:r>
    </w:p>
    <w:p w14:paraId="00000035">
      <w:pPr>
        <w:numPr>
          <w:ilvl w:val="0"/>
          <w:numId w:val="2"/>
        </w:numPr>
        <w:spacing w:before="0" w:beforeAutospacing="0" w:after="0" w:afterAutospacing="0"/>
        <w:ind w:left="720" w:hanging="360"/>
        <w:rPr>
          <w:color w:val="6AA84F"/>
          <w:sz w:val="24"/>
          <w:szCs w:val="24"/>
        </w:rPr>
      </w:pPr>
      <w:r>
        <w:rPr>
          <w:color w:val="6AA84F"/>
          <w:sz w:val="24"/>
          <w:szCs w:val="24"/>
          <w:rtl w:val="0"/>
        </w:rPr>
        <w:t>High-throughput (10^4–10^5 cells)</w:t>
      </w:r>
    </w:p>
    <w:p w14:paraId="00000036">
      <w:pPr>
        <w:numPr>
          <w:ilvl w:val="0"/>
          <w:numId w:val="2"/>
        </w:numPr>
        <w:spacing w:before="0" w:beforeAutospacing="0" w:after="0" w:afterAutospacing="0"/>
        <w:ind w:left="720" w:hanging="360"/>
        <w:rPr>
          <w:color w:val="6AA84F"/>
          <w:sz w:val="24"/>
          <w:szCs w:val="24"/>
        </w:rPr>
      </w:pPr>
      <w:r>
        <w:rPr>
          <w:color w:val="6AA84F"/>
          <w:sz w:val="24"/>
          <w:szCs w:val="24"/>
          <w:rtl w:val="0"/>
        </w:rPr>
        <w:t>Limited isoform resolution (typically captures transcript ends)</w:t>
      </w:r>
    </w:p>
    <w:p w14:paraId="00000037">
      <w:pPr>
        <w:numPr>
          <w:ilvl w:val="0"/>
          <w:numId w:val="2"/>
        </w:numPr>
        <w:spacing w:before="0" w:beforeAutospacing="0" w:after="240"/>
        <w:ind w:left="720" w:hanging="360"/>
        <w:rPr>
          <w:color w:val="4A86E8"/>
          <w:sz w:val="24"/>
          <w:szCs w:val="24"/>
        </w:rPr>
      </w:pPr>
      <w:r>
        <w:rPr>
          <w:color w:val="4A86E8"/>
          <w:sz w:val="24"/>
          <w:szCs w:val="24"/>
          <w:rtl w:val="0"/>
        </w:rPr>
        <w:t>UMIs enable digital counting of transcripts, which improves quantitative accuracy compared to traditional bulk RNA-seq.</w:t>
      </w:r>
    </w:p>
    <w:p w14:paraId="00000038">
      <w:pPr>
        <w:spacing w:before="240" w:after="240"/>
        <w:rPr>
          <w:b/>
          <w:bCs/>
          <w:color w:val="6AA84F"/>
          <w:sz w:val="24"/>
          <w:szCs w:val="24"/>
        </w:rPr>
      </w:pPr>
      <w:r>
        <w:rPr>
          <w:b/>
          <w:bCs/>
          <w:color w:val="6AA84F"/>
          <w:sz w:val="24"/>
          <w:szCs w:val="24"/>
          <w:rtl w:val="0"/>
        </w:rPr>
        <w:t>Plate-based:</w:t>
      </w:r>
    </w:p>
    <w:p w14:paraId="00000039">
      <w:pPr>
        <w:numPr>
          <w:ilvl w:val="0"/>
          <w:numId w:val="3"/>
        </w:numPr>
        <w:spacing w:before="240" w:after="0" w:afterAutospacing="0"/>
        <w:ind w:left="720" w:hanging="360"/>
        <w:rPr>
          <w:color w:val="6AA84F"/>
          <w:sz w:val="24"/>
          <w:szCs w:val="24"/>
        </w:rPr>
      </w:pPr>
      <w:r>
        <w:rPr>
          <w:color w:val="6AA84F"/>
          <w:sz w:val="24"/>
          <w:szCs w:val="24"/>
          <w:rtl w:val="0"/>
        </w:rPr>
        <w:t>Cells are isolated into wells via cell sorting methods</w:t>
      </w:r>
    </w:p>
    <w:p w14:paraId="0000003A">
      <w:pPr>
        <w:numPr>
          <w:ilvl w:val="0"/>
          <w:numId w:val="3"/>
        </w:numPr>
        <w:spacing w:before="0" w:beforeAutospacing="0" w:after="0" w:afterAutospacing="0"/>
        <w:ind w:left="720" w:hanging="360"/>
        <w:rPr>
          <w:color w:val="6AA84F"/>
          <w:sz w:val="24"/>
          <w:szCs w:val="24"/>
        </w:rPr>
      </w:pPr>
      <w:r>
        <w:rPr>
          <w:color w:val="6AA84F"/>
          <w:sz w:val="24"/>
          <w:szCs w:val="24"/>
          <w:rtl w:val="0"/>
        </w:rPr>
        <w:t>Medium-throughput, allows isoform analysis</w:t>
      </w:r>
    </w:p>
    <w:p w14:paraId="0000003B">
      <w:pPr>
        <w:numPr>
          <w:ilvl w:val="0"/>
          <w:numId w:val="3"/>
        </w:numPr>
        <w:spacing w:before="0" w:beforeAutospacing="0" w:after="0" w:afterAutospacing="0"/>
        <w:ind w:left="720" w:hanging="360"/>
        <w:rPr>
          <w:color w:val="6AA84F"/>
          <w:sz w:val="24"/>
          <w:szCs w:val="24"/>
        </w:rPr>
      </w:pPr>
      <w:r>
        <w:rPr>
          <w:color w:val="6AA84F"/>
          <w:sz w:val="24"/>
          <w:szCs w:val="24"/>
          <w:rtl w:val="0"/>
        </w:rPr>
        <w:t>Cells are insulted into wells via cell sorting methods (e.g., FACS)</w:t>
      </w:r>
    </w:p>
    <w:p w14:paraId="0000003C">
      <w:pPr>
        <w:numPr>
          <w:ilvl w:val="0"/>
          <w:numId w:val="3"/>
        </w:numPr>
        <w:spacing w:before="0" w:beforeAutospacing="0" w:after="0" w:afterAutospacing="0"/>
        <w:ind w:left="720" w:hanging="360"/>
        <w:rPr>
          <w:color w:val="6AA84F"/>
          <w:sz w:val="24"/>
          <w:szCs w:val="24"/>
        </w:rPr>
      </w:pPr>
      <w:r>
        <w:rPr>
          <w:color w:val="6AA84F"/>
          <w:sz w:val="24"/>
          <w:szCs w:val="24"/>
          <w:rtl w:val="0"/>
        </w:rPr>
        <w:t>Medium-throughput (10^2–10^3 cells)</w:t>
      </w:r>
    </w:p>
    <w:p w14:paraId="0000003D">
      <w:pPr>
        <w:numPr>
          <w:ilvl w:val="0"/>
          <w:numId w:val="3"/>
        </w:numPr>
        <w:spacing w:before="0" w:beforeAutospacing="0" w:after="240"/>
        <w:ind w:left="720" w:hanging="360"/>
        <w:rPr>
          <w:color w:val="6AA84F"/>
          <w:sz w:val="24"/>
          <w:szCs w:val="24"/>
        </w:rPr>
      </w:pPr>
      <w:r>
        <w:rPr>
          <w:color w:val="6AA84F"/>
          <w:sz w:val="24"/>
          <w:szCs w:val="24"/>
          <w:rtl w:val="0"/>
        </w:rPr>
        <w:t>Allows isoform analysis (full-length transcript capture)</w:t>
      </w:r>
    </w:p>
    <w:p w14:paraId="0000003E">
      <w:pPr>
        <w:spacing w:before="240" w:after="240"/>
        <w:rPr>
          <w:b/>
          <w:bCs/>
          <w:color w:val="6AA84F"/>
          <w:sz w:val="24"/>
          <w:szCs w:val="24"/>
        </w:rPr>
      </w:pPr>
      <w:r>
        <w:rPr>
          <w:b/>
          <w:bCs/>
          <w:color w:val="6AA84F"/>
          <w:sz w:val="24"/>
          <w:szCs w:val="24"/>
          <w:rtl w:val="0"/>
        </w:rPr>
        <w:t>Barcoded oligonucleotide (oligos):</w:t>
      </w:r>
    </w:p>
    <w:p w14:paraId="0000003F">
      <w:pPr>
        <w:numPr>
          <w:ilvl w:val="0"/>
          <w:numId w:val="4"/>
        </w:numPr>
        <w:spacing w:before="240" w:after="0" w:afterAutospacing="0"/>
        <w:ind w:left="720" w:hanging="360"/>
        <w:rPr>
          <w:color w:val="6AA84F"/>
          <w:sz w:val="24"/>
          <w:szCs w:val="24"/>
        </w:rPr>
      </w:pPr>
      <w:r>
        <w:rPr>
          <w:color w:val="6AA84F"/>
          <w:sz w:val="24"/>
          <w:szCs w:val="24"/>
          <w:rtl w:val="0"/>
        </w:rPr>
        <w:t>is comprised of PCR primer, cell barcode and unique molecular identifier (UMI)</w:t>
      </w:r>
    </w:p>
    <w:p w14:paraId="00000040">
      <w:pPr>
        <w:numPr>
          <w:ilvl w:val="0"/>
          <w:numId w:val="4"/>
        </w:numPr>
        <w:spacing w:before="0" w:beforeAutospacing="0" w:after="0" w:afterAutospacing="0"/>
        <w:ind w:left="720" w:hanging="360"/>
        <w:rPr>
          <w:color w:val="6AA84F"/>
          <w:sz w:val="24"/>
          <w:szCs w:val="24"/>
        </w:rPr>
      </w:pPr>
      <w:r>
        <w:rPr>
          <w:color w:val="6AA84F"/>
          <w:sz w:val="24"/>
          <w:szCs w:val="24"/>
          <w:rtl w:val="0"/>
        </w:rPr>
        <w:t>PCR primer: for amplifying cDNA to reach sufficient levels for sequencing</w:t>
      </w:r>
    </w:p>
    <w:p w14:paraId="00000041">
      <w:pPr>
        <w:numPr>
          <w:ilvl w:val="0"/>
          <w:numId w:val="4"/>
        </w:numPr>
        <w:spacing w:before="0" w:beforeAutospacing="0" w:after="0" w:afterAutospacing="0"/>
        <w:ind w:left="720" w:hanging="360"/>
        <w:rPr>
          <w:color w:val="6AA84F"/>
          <w:sz w:val="24"/>
          <w:szCs w:val="24"/>
        </w:rPr>
      </w:pPr>
      <w:r>
        <w:rPr>
          <w:color w:val="6AA84F"/>
          <w:sz w:val="24"/>
          <w:szCs w:val="24"/>
          <w:rtl w:val="0"/>
        </w:rPr>
        <w:t>Cell barcode: unique tag (e.g., 16 bp) for each bead - identifies a single cell</w:t>
      </w:r>
    </w:p>
    <w:p w14:paraId="00000042">
      <w:pPr>
        <w:numPr>
          <w:ilvl w:val="0"/>
          <w:numId w:val="4"/>
        </w:numPr>
        <w:spacing w:before="0" w:beforeAutospacing="0" w:after="0" w:afterAutospacing="0"/>
        <w:ind w:left="720" w:hanging="360"/>
        <w:rPr>
          <w:color w:val="6AA84F"/>
          <w:sz w:val="24"/>
          <w:szCs w:val="24"/>
        </w:rPr>
      </w:pPr>
      <w:r>
        <w:rPr>
          <w:color w:val="6AA84F"/>
          <w:sz w:val="24"/>
          <w:szCs w:val="24"/>
          <w:rtl w:val="0"/>
        </w:rPr>
        <w:t>UMI: random tag (e.g., 12 bp) that varies across oligos on a bead, labels each mRNA molecules - corrects PCR amplification bias</w:t>
      </w:r>
    </w:p>
    <w:p w14:paraId="00000043">
      <w:pPr>
        <w:numPr>
          <w:ilvl w:val="0"/>
          <w:numId w:val="4"/>
        </w:numPr>
        <w:spacing w:before="0" w:beforeAutospacing="0" w:after="0" w:afterAutospacing="0"/>
        <w:ind w:left="720" w:hanging="360"/>
        <w:rPr>
          <w:color w:val="6AA84F"/>
          <w:sz w:val="24"/>
          <w:szCs w:val="24"/>
        </w:rPr>
      </w:pPr>
      <w:r>
        <w:rPr>
          <w:rFonts w:ascii="Arial Unicode MS" w:hAnsi="Arial Unicode MS" w:eastAsia="Arial Unicode MS" w:cs="Arial Unicode MS"/>
          <w:color w:val="6AA84F"/>
          <w:sz w:val="24"/>
          <w:szCs w:val="24"/>
          <w:rtl w:val="0"/>
        </w:rPr>
        <w:t>4^12 possible sequences → low chance of collisions, 10^3–10^5 UMIs typically detected per cell</w:t>
      </w:r>
    </w:p>
    <w:p w14:paraId="00000044">
      <w:pPr>
        <w:numPr>
          <w:ilvl w:val="0"/>
          <w:numId w:val="4"/>
        </w:numPr>
        <w:spacing w:before="0" w:beforeAutospacing="0" w:after="240"/>
        <w:ind w:left="720" w:hanging="360"/>
        <w:rPr>
          <w:color w:val="6AA84F"/>
          <w:sz w:val="24"/>
          <w:szCs w:val="24"/>
        </w:rPr>
      </w:pPr>
      <w:r>
        <w:rPr>
          <w:color w:val="6AA84F"/>
          <w:sz w:val="24"/>
          <w:szCs w:val="24"/>
          <w:rtl w:val="0"/>
        </w:rPr>
        <w:t>Has Poly-T tail and should match Poly-A mRNA tail</w:t>
      </w:r>
    </w:p>
    <w:p w14:paraId="00000045">
      <w:pPr>
        <w:spacing w:before="240" w:after="240"/>
        <w:rPr>
          <w:color w:val="6AA84F"/>
          <w:sz w:val="24"/>
          <w:szCs w:val="24"/>
        </w:rPr>
      </w:pPr>
      <w:r>
        <w:rPr>
          <w:color w:val="6AA84F"/>
          <w:sz w:val="24"/>
          <w:szCs w:val="24"/>
        </w:rPr>
        <w:drawing>
          <wp:inline distT="114300" distB="114300" distL="114300" distR="114300">
            <wp:extent cx="5943600" cy="22098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6"/>
                    <a:srcRect/>
                    <a:stretch>
                      <a:fillRect/>
                    </a:stretch>
                  </pic:blipFill>
                  <pic:spPr>
                    <a:xfrm>
                      <a:off x="0" y="0"/>
                      <a:ext cx="5943600" cy="2209800"/>
                    </a:xfrm>
                    <a:prstGeom prst="rect">
                      <a:avLst/>
                    </a:prstGeom>
                  </pic:spPr>
                </pic:pic>
              </a:graphicData>
            </a:graphic>
          </wp:inline>
        </w:drawing>
      </w:r>
    </w:p>
    <w:p w14:paraId="00000046">
      <w:pPr>
        <w:spacing w:before="240" w:after="240"/>
        <w:rPr>
          <w:sz w:val="24"/>
          <w:szCs w:val="24"/>
        </w:rPr>
      </w:pPr>
    </w:p>
    <w:p w14:paraId="00000047">
      <w:pPr>
        <w:pStyle w:val="4"/>
        <w:keepNext w:val="0"/>
        <w:keepLines w:val="0"/>
        <w:spacing w:before="280"/>
        <w:rPr>
          <w:sz w:val="24"/>
          <w:szCs w:val="24"/>
        </w:rPr>
      </w:pPr>
      <w:bookmarkStart w:id="6" w:name="_5m0amc2lrkwq" w:colFirst="0" w:colLast="0"/>
      <w:bookmarkEnd w:id="6"/>
      <w:r>
        <w:rPr>
          <w:b/>
          <w:bCs/>
          <w:color w:val="000000"/>
          <w:sz w:val="24"/>
          <w:szCs w:val="24"/>
          <w:rtl w:val="0"/>
        </w:rPr>
        <w:t>3.3 From Reads to Count Matrix</w:t>
      </w:r>
    </w:p>
    <w:p w14:paraId="00000048">
      <w:pPr>
        <w:numPr>
          <w:ilvl w:val="0"/>
          <w:numId w:val="5"/>
        </w:numPr>
        <w:spacing w:before="240" w:after="0" w:afterAutospacing="0"/>
        <w:ind w:left="720" w:hanging="360"/>
        <w:rPr>
          <w:color w:val="6AA84F"/>
          <w:sz w:val="24"/>
          <w:szCs w:val="24"/>
        </w:rPr>
      </w:pPr>
      <w:r>
        <w:rPr>
          <w:color w:val="6AA84F"/>
          <w:sz w:val="24"/>
          <w:szCs w:val="24"/>
          <w:rtl w:val="0"/>
        </w:rPr>
        <w:t>Each barcode represents a (putative) single cell</w:t>
      </w:r>
    </w:p>
    <w:p w14:paraId="00000049">
      <w:pPr>
        <w:numPr>
          <w:ilvl w:val="0"/>
          <w:numId w:val="5"/>
        </w:numPr>
        <w:spacing w:before="0" w:beforeAutospacing="0" w:after="0" w:afterAutospacing="0"/>
        <w:ind w:left="720" w:hanging="360"/>
        <w:rPr>
          <w:color w:val="6AA84F"/>
          <w:sz w:val="24"/>
          <w:szCs w:val="24"/>
        </w:rPr>
      </w:pPr>
      <w:r>
        <w:rPr>
          <w:color w:val="6AA84F"/>
          <w:sz w:val="24"/>
          <w:szCs w:val="24"/>
          <w:rtl w:val="0"/>
        </w:rPr>
        <w:t>cDNA reads are aligned to reference genome and assigned gene labels</w:t>
      </w:r>
    </w:p>
    <w:p w14:paraId="0000004A">
      <w:pPr>
        <w:numPr>
          <w:ilvl w:val="0"/>
          <w:numId w:val="5"/>
        </w:numPr>
        <w:spacing w:before="0" w:beforeAutospacing="0" w:after="0" w:afterAutospacing="0"/>
        <w:ind w:left="720" w:hanging="360"/>
        <w:rPr>
          <w:color w:val="6AA84F"/>
          <w:sz w:val="24"/>
          <w:szCs w:val="24"/>
        </w:rPr>
      </w:pPr>
      <w:r>
        <w:rPr>
          <w:color w:val="6AA84F"/>
          <w:sz w:val="24"/>
          <w:szCs w:val="24"/>
          <w:rtl w:val="0"/>
        </w:rPr>
        <w:t>For each (cell barcode, gene): unique UMIs are counted to estimate transcript abundance</w:t>
      </w:r>
    </w:p>
    <w:p w14:paraId="0000004B">
      <w:pPr>
        <w:numPr>
          <w:ilvl w:val="0"/>
          <w:numId w:val="5"/>
        </w:numPr>
        <w:spacing w:before="0" w:beforeAutospacing="0" w:after="240"/>
        <w:ind w:left="720" w:hanging="360"/>
        <w:rPr>
          <w:color w:val="4A86E8"/>
          <w:sz w:val="24"/>
          <w:szCs w:val="24"/>
        </w:rPr>
      </w:pPr>
      <w:r>
        <w:rPr>
          <w:color w:val="4A86E8"/>
          <w:sz w:val="24"/>
          <w:szCs w:val="24"/>
          <w:rtl w:val="0"/>
        </w:rPr>
        <w:t>Stringent QC thresholds are critical because low-quality cells can introduce artificial clusters in downstream analysis.</w:t>
      </w:r>
    </w:p>
    <w:p w14:paraId="0000004C">
      <w:pPr>
        <w:pStyle w:val="4"/>
        <w:keepNext w:val="0"/>
        <w:keepLines w:val="0"/>
        <w:spacing w:before="280"/>
        <w:rPr>
          <w:b/>
          <w:bCs/>
          <w:color w:val="000000"/>
          <w:sz w:val="24"/>
          <w:szCs w:val="24"/>
        </w:rPr>
      </w:pPr>
      <w:bookmarkStart w:id="7" w:name="_u9imq5k46r2d" w:colFirst="0" w:colLast="0"/>
      <w:bookmarkEnd w:id="7"/>
      <w:r>
        <w:rPr>
          <w:b/>
          <w:bCs/>
          <w:color w:val="000000"/>
          <w:sz w:val="24"/>
          <w:szCs w:val="24"/>
          <w:rtl w:val="0"/>
        </w:rPr>
        <w:t>3.4 Preprocessing Workflow</w:t>
      </w:r>
    </w:p>
    <w:p w14:paraId="0000004D">
      <w:pPr>
        <w:spacing w:before="240" w:after="240"/>
        <w:rPr>
          <w:color w:val="F1C232"/>
          <w:sz w:val="24"/>
          <w:szCs w:val="24"/>
        </w:rPr>
      </w:pPr>
      <w:r>
        <w:rPr>
          <w:rFonts w:ascii="Arial Unicode MS" w:hAnsi="Arial Unicode MS" w:eastAsia="Arial Unicode MS" w:cs="Arial Unicode MS"/>
          <w:color w:val="F1C232"/>
          <w:sz w:val="24"/>
          <w:szCs w:val="24"/>
          <w:rtl w:val="0"/>
        </w:rPr>
        <w:t>The lecture presents a standard preprocessing pipeline:</w:t>
      </w:r>
      <w:r>
        <w:rPr>
          <w:rFonts w:ascii="Arial Unicode MS" w:hAnsi="Arial Unicode MS" w:eastAsia="Arial Unicode MS" w:cs="Arial Unicode MS"/>
          <w:color w:val="F1C232"/>
          <w:sz w:val="24"/>
          <w:szCs w:val="24"/>
          <w:rtl w:val="0"/>
        </w:rPr>
        <w:br w:type="textWrapping"/>
      </w:r>
      <w:r>
        <w:rPr>
          <w:rFonts w:ascii="Arial Unicode MS" w:hAnsi="Arial Unicode MS" w:eastAsia="Arial Unicode MS" w:cs="Arial Unicode MS"/>
          <w:color w:val="F1C232"/>
          <w:sz w:val="24"/>
          <w:szCs w:val="24"/>
          <w:rtl w:val="0"/>
        </w:rPr>
        <w:t xml:space="preserve"> count matrix → QC &amp; normalization → HVG selection → PCA → clustering / visualization → downstream analysis.</w:t>
      </w:r>
    </w:p>
    <w:p w14:paraId="0000004E">
      <w:pPr>
        <w:pStyle w:val="4"/>
        <w:keepNext w:val="0"/>
        <w:keepLines w:val="0"/>
        <w:spacing w:before="280"/>
        <w:rPr>
          <w:b/>
          <w:bCs/>
          <w:color w:val="F1C232"/>
          <w:sz w:val="24"/>
          <w:szCs w:val="24"/>
        </w:rPr>
      </w:pPr>
      <w:bookmarkStart w:id="8" w:name="_m7b1nq6gb2sp" w:colFirst="0" w:colLast="0"/>
      <w:bookmarkEnd w:id="8"/>
      <w:r>
        <w:rPr>
          <w:b/>
          <w:bCs/>
          <w:color w:val="F1C232"/>
          <w:sz w:val="24"/>
          <w:szCs w:val="24"/>
          <w:rtl w:val="0"/>
        </w:rPr>
        <w:t>Quality Control</w:t>
      </w:r>
    </w:p>
    <w:p w14:paraId="0000004F">
      <w:pPr>
        <w:spacing w:before="240" w:after="240"/>
        <w:rPr>
          <w:color w:val="F1C232"/>
          <w:sz w:val="24"/>
          <w:szCs w:val="24"/>
        </w:rPr>
      </w:pPr>
      <w:r>
        <w:rPr>
          <w:color w:val="F1C232"/>
          <w:sz w:val="24"/>
          <w:szCs w:val="24"/>
          <w:rtl w:val="0"/>
        </w:rPr>
        <w:t>The main QC metrics are total UMI count per cell, number of detected genes per cell, and mitochondrial gene fraction.</w:t>
      </w:r>
    </w:p>
    <w:p w14:paraId="00000050">
      <w:pPr>
        <w:spacing w:before="240" w:after="240"/>
        <w:rPr>
          <w:color w:val="F1C232"/>
          <w:sz w:val="24"/>
          <w:szCs w:val="24"/>
        </w:rPr>
      </w:pPr>
      <w:r>
        <w:rPr>
          <w:color w:val="F1C232"/>
          <w:sz w:val="24"/>
          <w:szCs w:val="24"/>
          <w:rtl w:val="0"/>
        </w:rPr>
        <w:t>• Very low UMI or gene counts often indicate empty droplets or poor capture.</w:t>
      </w:r>
      <w:r>
        <w:rPr>
          <w:color w:val="F1C232"/>
          <w:sz w:val="24"/>
          <w:szCs w:val="24"/>
          <w:rtl w:val="0"/>
        </w:rPr>
        <w:br w:type="textWrapping"/>
      </w:r>
      <w:r>
        <w:rPr>
          <w:color w:val="F1C232"/>
          <w:sz w:val="24"/>
          <w:szCs w:val="24"/>
          <w:rtl w:val="0"/>
        </w:rPr>
        <w:t xml:space="preserve"> • Very high total counts may indicate doublets or multiplets.</w:t>
      </w:r>
      <w:r>
        <w:rPr>
          <w:color w:val="F1C232"/>
          <w:sz w:val="24"/>
          <w:szCs w:val="24"/>
          <w:rtl w:val="0"/>
        </w:rPr>
        <w:br w:type="textWrapping"/>
      </w:r>
      <w:r>
        <w:rPr>
          <w:color w:val="F1C232"/>
          <w:sz w:val="24"/>
          <w:szCs w:val="24"/>
          <w:rtl w:val="0"/>
        </w:rPr>
        <w:t xml:space="preserve"> • High mitochondrial fraction may indicate stressed, damaged, or dying cells.</w:t>
      </w:r>
    </w:p>
    <w:p w14:paraId="00000051">
      <w:pPr>
        <w:spacing w:before="240" w:after="240"/>
        <w:rPr>
          <w:color w:val="F1C232"/>
          <w:sz w:val="24"/>
          <w:szCs w:val="24"/>
        </w:rPr>
      </w:pPr>
      <w:r>
        <w:rPr>
          <w:color w:val="F1C232"/>
          <w:sz w:val="24"/>
          <w:szCs w:val="24"/>
          <w:rtl w:val="0"/>
        </w:rPr>
        <w:t>These filters aim to remove technical artifacts before structure learning begin.</w:t>
      </w:r>
    </w:p>
    <w:p w14:paraId="00000052">
      <w:pPr>
        <w:pStyle w:val="4"/>
        <w:keepNext w:val="0"/>
        <w:keepLines w:val="0"/>
        <w:spacing w:before="280"/>
        <w:rPr>
          <w:b/>
          <w:bCs/>
          <w:color w:val="F1C232"/>
          <w:sz w:val="24"/>
          <w:szCs w:val="24"/>
        </w:rPr>
      </w:pPr>
      <w:bookmarkStart w:id="9" w:name="_z71no3rlfq8t" w:colFirst="0" w:colLast="0"/>
      <w:bookmarkEnd w:id="9"/>
      <w:r>
        <w:rPr>
          <w:b/>
          <w:bCs/>
          <w:color w:val="F1C232"/>
          <w:sz w:val="24"/>
          <w:szCs w:val="24"/>
          <w:rtl w:val="0"/>
        </w:rPr>
        <w:t>Highly Variable Gene Selection</w:t>
      </w:r>
    </w:p>
    <w:p w14:paraId="00000053">
      <w:pPr>
        <w:spacing w:before="240" w:after="240"/>
        <w:rPr>
          <w:sz w:val="24"/>
          <w:szCs w:val="24"/>
        </w:rPr>
      </w:pPr>
      <w:r>
        <w:rPr>
          <w:color w:val="F1C232"/>
          <w:sz w:val="24"/>
          <w:szCs w:val="24"/>
          <w:rtl w:val="0"/>
        </w:rPr>
        <w:t>After normalization, the workflow focuses on genes most informative for cell-state structure. Because variance naturally increases with mean expression in count-like data, genes must be evaluated relative to an expected mean–variance relationship rather than by raw variance alone.</w:t>
      </w:r>
    </w:p>
    <w:p w14:paraId="00000054">
      <w:pPr>
        <w:pStyle w:val="4"/>
        <w:keepNext w:val="0"/>
        <w:keepLines w:val="0"/>
        <w:spacing w:before="280"/>
        <w:rPr>
          <w:b/>
          <w:bCs/>
          <w:color w:val="000000"/>
          <w:sz w:val="24"/>
          <w:szCs w:val="24"/>
        </w:rPr>
      </w:pPr>
      <w:bookmarkStart w:id="10" w:name="_cewrggx72hx" w:colFirst="0" w:colLast="0"/>
      <w:bookmarkEnd w:id="10"/>
      <w:r>
        <w:rPr>
          <w:b/>
          <w:bCs/>
          <w:color w:val="000000"/>
          <w:sz w:val="24"/>
          <w:szCs w:val="24"/>
          <w:rtl w:val="0"/>
        </w:rPr>
        <w:t>3.5 Dimensionality Reduction &amp; Visualization</w:t>
      </w:r>
    </w:p>
    <w:p w14:paraId="00000055">
      <w:pPr>
        <w:spacing w:before="240" w:after="240"/>
        <w:rPr>
          <w:color w:val="F1C232"/>
          <w:sz w:val="24"/>
          <w:szCs w:val="24"/>
        </w:rPr>
      </w:pPr>
      <w:r>
        <w:rPr>
          <w:color w:val="F1C232"/>
          <w:sz w:val="24"/>
          <w:szCs w:val="24"/>
          <w:rtl w:val="0"/>
        </w:rPr>
        <w:t>Once informative genes are selected, the lecture turns to low-dimensional representation.</w:t>
      </w:r>
    </w:p>
    <w:p w14:paraId="00000056">
      <w:pPr>
        <w:pStyle w:val="4"/>
        <w:keepNext w:val="0"/>
        <w:keepLines w:val="0"/>
        <w:spacing w:before="280"/>
        <w:rPr>
          <w:b/>
          <w:bCs/>
          <w:color w:val="F1C232"/>
          <w:sz w:val="24"/>
          <w:szCs w:val="24"/>
        </w:rPr>
      </w:pPr>
      <w:bookmarkStart w:id="11" w:name="_k9l6jkwub6it" w:colFirst="0" w:colLast="0"/>
      <w:bookmarkEnd w:id="11"/>
      <w:r>
        <w:rPr>
          <w:b/>
          <w:bCs/>
          <w:color w:val="F1C232"/>
          <w:sz w:val="24"/>
          <w:szCs w:val="24"/>
          <w:rtl w:val="0"/>
        </w:rPr>
        <w:t>Principal Component Analysis (PCA)</w:t>
      </w:r>
    </w:p>
    <w:p w14:paraId="00000057">
      <w:pPr>
        <w:spacing w:before="240" w:after="240"/>
        <w:rPr>
          <w:color w:val="F1C232"/>
          <w:sz w:val="24"/>
          <w:szCs w:val="24"/>
        </w:rPr>
      </w:pPr>
      <w:r>
        <w:rPr>
          <w:color w:val="F1C232"/>
          <w:sz w:val="24"/>
          <w:szCs w:val="24"/>
          <w:rtl w:val="0"/>
        </w:rPr>
        <w:t>PCA is introduced as the standard first-stage dimension reduction method. It identifies orthogonal directions capturing maximal variance in the normalized data and typically reduces thousands of gene dimensions down to roughly 20–50 principal components.</w:t>
      </w:r>
    </w:p>
    <w:p w14:paraId="00000058">
      <w:pPr>
        <w:pStyle w:val="4"/>
        <w:keepNext w:val="0"/>
        <w:keepLines w:val="0"/>
        <w:spacing w:before="280"/>
        <w:rPr>
          <w:b/>
          <w:bCs/>
          <w:color w:val="F1C232"/>
          <w:sz w:val="24"/>
          <w:szCs w:val="24"/>
        </w:rPr>
      </w:pPr>
      <w:bookmarkStart w:id="12" w:name="_iq9vbjety1bu" w:colFirst="0" w:colLast="0"/>
      <w:bookmarkEnd w:id="12"/>
      <w:r>
        <w:rPr>
          <w:b/>
          <w:bCs/>
          <w:color w:val="F1C232"/>
          <w:sz w:val="24"/>
          <w:szCs w:val="24"/>
          <w:rtl w:val="0"/>
        </w:rPr>
        <w:t>Visualization with PCA, t-SNE, and UMAP</w:t>
      </w:r>
    </w:p>
    <w:p w14:paraId="00000059">
      <w:pPr>
        <w:spacing w:before="240" w:after="240"/>
        <w:rPr>
          <w:color w:val="F1C232"/>
          <w:sz w:val="24"/>
          <w:szCs w:val="24"/>
        </w:rPr>
      </w:pPr>
      <w:r>
        <w:rPr>
          <w:color w:val="F1C232"/>
          <w:sz w:val="24"/>
          <w:szCs w:val="24"/>
          <w:rtl w:val="0"/>
        </w:rPr>
        <w:t>The lecture next explains that cells are often displayed in 2D or 3D so clusters and marker-gene overlays can be interpreted visually. PCA gives a linear embedding, while t-SNE and UMAP are nonlinear and generally better at capturing manifold structure in complex datasets.</w:t>
      </w:r>
    </w:p>
    <w:p w14:paraId="0000005A">
      <w:pPr>
        <w:pStyle w:val="4"/>
        <w:keepNext w:val="0"/>
        <w:keepLines w:val="0"/>
        <w:spacing w:before="280"/>
        <w:rPr>
          <w:b/>
          <w:bCs/>
          <w:color w:val="F1C232"/>
          <w:sz w:val="24"/>
          <w:szCs w:val="24"/>
        </w:rPr>
      </w:pPr>
      <w:bookmarkStart w:id="13" w:name="_tyxzbj6pnnoi" w:colFirst="0" w:colLast="0"/>
      <w:bookmarkEnd w:id="13"/>
      <w:r>
        <w:rPr>
          <w:b/>
          <w:bCs/>
          <w:color w:val="F1C232"/>
          <w:sz w:val="24"/>
          <w:szCs w:val="24"/>
          <w:rtl w:val="0"/>
        </w:rPr>
        <w:t>Interpreting Embeddings Carefully</w:t>
      </w:r>
    </w:p>
    <w:p w14:paraId="0000005B">
      <w:pPr>
        <w:spacing w:before="240" w:after="240"/>
        <w:rPr>
          <w:color w:val="F1C232"/>
          <w:sz w:val="24"/>
          <w:szCs w:val="24"/>
        </w:rPr>
      </w:pPr>
      <w:r>
        <w:rPr>
          <w:color w:val="F1C232"/>
          <w:sz w:val="24"/>
          <w:szCs w:val="24"/>
          <w:rtl w:val="0"/>
        </w:rPr>
        <w:t>A major cautionary theme of the lecture is that visual intuition can be misleading. A Mercator-projection analogy is used to show that apparent size in a picture may not match true size. The lecture then states the analogous issue for t-SNE and UMAP: density information is often lost because local length scales are adapted to neighborhood structure.</w:t>
      </w:r>
    </w:p>
    <w:p w14:paraId="0000005C">
      <w:pPr>
        <w:spacing w:before="240" w:after="240"/>
        <w:rPr>
          <w:color w:val="6AA84F"/>
          <w:sz w:val="24"/>
          <w:szCs w:val="24"/>
        </w:rPr>
      </w:pPr>
      <w:r>
        <w:rPr>
          <w:sz w:val="24"/>
          <w:szCs w:val="24"/>
          <w:rtl w:val="0"/>
        </w:rPr>
        <w:br w:type="textWrapping"/>
      </w:r>
      <w:r>
        <w:rPr>
          <w:sz w:val="24"/>
          <w:szCs w:val="24"/>
          <w:rtl w:val="0"/>
        </w:rPr>
        <w:t xml:space="preserve"> </w:t>
      </w:r>
      <w:r>
        <w:rPr>
          <w:color w:val="6AA84F"/>
          <w:sz w:val="24"/>
          <w:szCs w:val="24"/>
          <w:rtl w:val="0"/>
        </w:rPr>
        <w:t>Each dot is an individual cell, cells that have similar profiles are placed closer together.</w:t>
      </w:r>
    </w:p>
    <w:p w14:paraId="0000005D">
      <w:pPr>
        <w:spacing w:before="240" w:after="240"/>
        <w:rPr>
          <w:color w:val="4A86E8"/>
          <w:sz w:val="24"/>
          <w:szCs w:val="24"/>
        </w:rPr>
      </w:pPr>
      <w:r>
        <w:rPr>
          <w:color w:val="4A86E8"/>
          <w:sz w:val="24"/>
          <w:szCs w:val="24"/>
          <w:rtl w:val="0"/>
        </w:rPr>
        <w:t>The choice of dimensionality reduction method can significantly affect clustering results and biological interpretation.</w:t>
      </w:r>
    </w:p>
    <w:p w14:paraId="0000005E">
      <w:pPr>
        <w:spacing w:before="240" w:after="240"/>
        <w:rPr>
          <w:sz w:val="24"/>
          <w:szCs w:val="24"/>
        </w:rPr>
      </w:pPr>
    </w:p>
    <w:p w14:paraId="0000005F">
      <w:pPr>
        <w:pStyle w:val="4"/>
        <w:keepNext w:val="0"/>
        <w:keepLines w:val="0"/>
        <w:spacing w:before="280"/>
        <w:rPr>
          <w:b/>
          <w:bCs/>
          <w:color w:val="000000"/>
          <w:sz w:val="24"/>
          <w:szCs w:val="24"/>
        </w:rPr>
      </w:pPr>
      <w:bookmarkStart w:id="14" w:name="_6lgvsiymlzg" w:colFirst="0" w:colLast="0"/>
      <w:bookmarkEnd w:id="14"/>
      <w:r>
        <w:rPr>
          <w:b/>
          <w:bCs/>
          <w:color w:val="000000"/>
          <w:sz w:val="24"/>
          <w:szCs w:val="24"/>
          <w:rtl w:val="0"/>
        </w:rPr>
        <w:t>3.6 Trajectory Analysis &amp; RNA Velocity</w:t>
      </w:r>
    </w:p>
    <w:p w14:paraId="00000060">
      <w:pPr>
        <w:spacing w:before="240" w:after="240"/>
        <w:rPr>
          <w:color w:val="F1C232"/>
          <w:sz w:val="24"/>
          <w:szCs w:val="24"/>
        </w:rPr>
      </w:pPr>
      <w:r>
        <w:rPr>
          <w:sz w:val="24"/>
          <w:szCs w:val="24"/>
          <w:rtl w:val="0"/>
        </w:rPr>
        <w:br w:type="textWrapping"/>
      </w:r>
      <w:r>
        <w:rPr>
          <w:sz w:val="24"/>
          <w:szCs w:val="24"/>
          <w:rtl w:val="0"/>
        </w:rPr>
        <w:t xml:space="preserve"> </w:t>
      </w:r>
      <w:r>
        <w:rPr>
          <w:color w:val="F1C232"/>
          <w:sz w:val="24"/>
          <w:szCs w:val="24"/>
          <w:rtl w:val="0"/>
        </w:rPr>
        <w:t>Pseudotime is a continuous coordinate that orders cells along an inferred trajectory and acts as a proxy for biological progression.</w:t>
      </w:r>
    </w:p>
    <w:p w14:paraId="00000061">
      <w:pPr>
        <w:spacing w:before="240" w:after="240"/>
        <w:rPr>
          <w:color w:val="FF0000"/>
          <w:sz w:val="24"/>
          <w:szCs w:val="24"/>
        </w:rPr>
      </w:pPr>
      <w:r>
        <w:rPr>
          <w:sz w:val="24"/>
          <w:szCs w:val="24"/>
          <w:rtl w:val="0"/>
        </w:rPr>
        <w:br w:type="textWrapping"/>
      </w:r>
      <w:r>
        <w:rPr>
          <w:sz w:val="24"/>
          <w:szCs w:val="24"/>
          <w:rtl w:val="0"/>
        </w:rPr>
        <w:t xml:space="preserve"> </w:t>
      </w:r>
      <w:r>
        <w:rPr>
          <w:color w:val="FF0000"/>
          <w:sz w:val="24"/>
          <w:szCs w:val="24"/>
          <w:rtl w:val="0"/>
        </w:rPr>
        <w:t>RNA velocity is a direction estimate in expression space derived from spliced vs unspliced RNA, intended to predict short-term future state changes.</w:t>
      </w:r>
    </w:p>
    <w:p w14:paraId="00000062">
      <w:pPr>
        <w:spacing w:before="240" w:after="240"/>
        <w:rPr>
          <w:color w:val="6AA84F"/>
          <w:sz w:val="24"/>
          <w:szCs w:val="24"/>
        </w:rPr>
      </w:pPr>
      <w:r>
        <w:rPr>
          <w:sz w:val="24"/>
          <w:szCs w:val="24"/>
          <w:rtl w:val="0"/>
        </w:rPr>
        <w:br w:type="textWrapping"/>
      </w:r>
      <w:r>
        <w:rPr>
          <w:rFonts w:ascii="Arial Unicode MS" w:hAnsi="Arial Unicode MS" w:eastAsia="Arial Unicode MS" w:cs="Arial Unicode MS"/>
          <w:color w:val="6AA84F"/>
          <w:sz w:val="24"/>
          <w:szCs w:val="24"/>
          <w:rtl w:val="0"/>
        </w:rPr>
        <w:t xml:space="preserve"> Use intronic reads to quantify unspliced molecules → proxy for transcriptional influx.</w:t>
      </w:r>
    </w:p>
    <w:p w14:paraId="00000063">
      <w:pPr>
        <w:spacing w:before="240" w:after="240"/>
        <w:rPr>
          <w:color w:val="4A86E8"/>
          <w:sz w:val="24"/>
          <w:szCs w:val="24"/>
        </w:rPr>
      </w:pPr>
      <w:r>
        <w:rPr>
          <w:color w:val="4A86E8"/>
          <w:sz w:val="24"/>
          <w:szCs w:val="24"/>
          <w:rtl w:val="0"/>
        </w:rPr>
        <w:t>RNA velocity assumes steady-state kinetics, which may not hold in rapidly changing or perturbed systems.</w:t>
      </w:r>
    </w:p>
    <w:p w14:paraId="00000064">
      <w:pPr>
        <w:pStyle w:val="4"/>
        <w:keepNext w:val="0"/>
        <w:keepLines w:val="0"/>
        <w:spacing w:before="280"/>
        <w:rPr>
          <w:b/>
          <w:bCs/>
          <w:color w:val="000000"/>
          <w:sz w:val="24"/>
          <w:szCs w:val="24"/>
        </w:rPr>
      </w:pPr>
      <w:bookmarkStart w:id="15" w:name="_9t3p233r25ku" w:colFirst="0" w:colLast="0"/>
      <w:bookmarkEnd w:id="15"/>
      <w:r>
        <w:rPr>
          <w:b/>
          <w:bCs/>
          <w:color w:val="000000"/>
          <w:sz w:val="24"/>
          <w:szCs w:val="24"/>
          <w:rtl w:val="0"/>
        </w:rPr>
        <w:t>3.7 Case Studies</w:t>
      </w:r>
    </w:p>
    <w:p w14:paraId="00000065">
      <w:pPr>
        <w:spacing w:before="240" w:after="240"/>
        <w:rPr>
          <w:color w:val="F1C232"/>
          <w:sz w:val="24"/>
          <w:szCs w:val="24"/>
        </w:rPr>
      </w:pPr>
      <w:r>
        <w:rPr>
          <w:sz w:val="24"/>
          <w:szCs w:val="24"/>
          <w:rtl w:val="0"/>
        </w:rPr>
        <w:br w:type="textWrapping"/>
      </w:r>
      <w:r>
        <w:rPr>
          <w:sz w:val="24"/>
          <w:szCs w:val="24"/>
          <w:rtl w:val="0"/>
        </w:rPr>
        <w:t xml:space="preserve"> </w:t>
      </w:r>
      <w:r>
        <w:rPr>
          <w:color w:val="F1C232"/>
          <w:sz w:val="24"/>
          <w:szCs w:val="24"/>
          <w:rtl w:val="0"/>
        </w:rPr>
        <w:t>SARS-CoV-2: nasal epithelial cells showed enriched co-expression of ACE2 and TMPRSS2, suggesting a major entry site.</w:t>
      </w:r>
    </w:p>
    <w:p w14:paraId="00000066">
      <w:pPr>
        <w:spacing w:before="240" w:after="240"/>
        <w:rPr>
          <w:color w:val="F1C232"/>
          <w:sz w:val="24"/>
          <w:szCs w:val="24"/>
        </w:rPr>
      </w:pPr>
      <w:r>
        <w:rPr>
          <w:color w:val="F1C232"/>
          <w:sz w:val="24"/>
          <w:szCs w:val="24"/>
          <w:rtl w:val="0"/>
        </w:rPr>
        <w:t>Glioblastoma: four major malignant transcriptional states were identified, suggesting tumor heterogeneity.</w:t>
      </w:r>
    </w:p>
    <w:p w14:paraId="00000067">
      <w:pPr>
        <w:pStyle w:val="4"/>
        <w:keepNext w:val="0"/>
        <w:keepLines w:val="0"/>
        <w:spacing w:before="280"/>
        <w:rPr>
          <w:b/>
          <w:bCs/>
          <w:color w:val="38761D"/>
          <w:sz w:val="24"/>
          <w:szCs w:val="24"/>
        </w:rPr>
      </w:pPr>
      <w:bookmarkStart w:id="16" w:name="_s6skdo7c2167" w:colFirst="0" w:colLast="0"/>
      <w:bookmarkEnd w:id="16"/>
      <w:r>
        <w:rPr>
          <w:b/>
          <w:bCs/>
          <w:color w:val="000000"/>
          <w:sz w:val="24"/>
          <w:szCs w:val="24"/>
          <w:rtl w:val="0"/>
        </w:rPr>
        <w:t>3.8 Single-Cell Atlases &amp; Foundation Models</w:t>
      </w:r>
      <w:r>
        <w:rPr>
          <w:sz w:val="24"/>
          <w:szCs w:val="24"/>
          <w:rtl w:val="0"/>
        </w:rPr>
        <w:br w:type="textWrapping"/>
      </w:r>
      <w:r>
        <w:rPr>
          <w:b/>
          <w:bCs/>
          <w:color w:val="38761D"/>
          <w:sz w:val="24"/>
          <w:szCs w:val="24"/>
          <w:rtl w:val="0"/>
        </w:rPr>
        <w:t>Single Cell Atlases</w:t>
      </w:r>
    </w:p>
    <w:p w14:paraId="00000068">
      <w:pPr>
        <w:numPr>
          <w:ilvl w:val="0"/>
          <w:numId w:val="6"/>
        </w:numPr>
        <w:spacing w:before="240" w:after="240"/>
        <w:ind w:left="720" w:hanging="360"/>
        <w:rPr>
          <w:color w:val="38761D"/>
          <w:sz w:val="24"/>
          <w:szCs w:val="24"/>
        </w:rPr>
      </w:pPr>
      <w:r>
        <w:rPr>
          <w:color w:val="38761D"/>
          <w:sz w:val="24"/>
          <w:szCs w:val="24"/>
          <w:rtl w:val="0"/>
        </w:rPr>
        <w:t>Human Cell Atlas</w:t>
      </w:r>
    </w:p>
    <w:p w14:paraId="00000069">
      <w:pPr>
        <w:spacing w:before="240" w:after="240"/>
        <w:rPr>
          <w:b/>
          <w:bCs/>
          <w:color w:val="38761D"/>
          <w:sz w:val="24"/>
          <w:szCs w:val="24"/>
        </w:rPr>
      </w:pPr>
      <w:r>
        <w:rPr>
          <w:b/>
          <w:bCs/>
          <w:color w:val="38761D"/>
          <w:sz w:val="24"/>
          <w:szCs w:val="24"/>
          <w:rtl w:val="0"/>
        </w:rPr>
        <w:t>Single-Cell Foundation Models</w:t>
      </w:r>
    </w:p>
    <w:p w14:paraId="0000006A">
      <w:pPr>
        <w:spacing w:before="240" w:after="240"/>
        <w:rPr>
          <w:color w:val="38761D"/>
          <w:sz w:val="24"/>
          <w:szCs w:val="24"/>
        </w:rPr>
      </w:pPr>
      <w:r>
        <w:rPr>
          <w:color w:val="38761D"/>
          <w:sz w:val="24"/>
          <w:szCs w:val="24"/>
          <w:rtl w:val="0"/>
        </w:rPr>
        <w:t>● Can speed up analysis</w:t>
      </w:r>
    </w:p>
    <w:p w14:paraId="0000006B">
      <w:pPr>
        <w:spacing w:before="240" w:after="240"/>
        <w:rPr>
          <w:color w:val="38761D"/>
          <w:sz w:val="24"/>
          <w:szCs w:val="24"/>
        </w:rPr>
      </w:pPr>
      <w:r>
        <w:rPr>
          <w:color w:val="38761D"/>
          <w:sz w:val="24"/>
          <w:szCs w:val="24"/>
          <w:rtl w:val="0"/>
        </w:rPr>
        <w:t>● Biological data</w:t>
      </w:r>
      <w:r>
        <w:rPr>
          <w:color w:val="38761D"/>
          <w:sz w:val="24"/>
          <w:szCs w:val="24"/>
          <w:rtl w:val="0"/>
        </w:rPr>
        <w:br w:type="textWrapping"/>
      </w:r>
      <w:r>
        <w:rPr>
          <w:color w:val="38761D"/>
          <w:sz w:val="24"/>
          <w:szCs w:val="24"/>
          <w:rtl w:val="0"/>
        </w:rPr>
        <w:t xml:space="preserve"> ○ Using these atlas-scale data to learn</w:t>
      </w:r>
      <w:r>
        <w:rPr>
          <w:color w:val="38761D"/>
          <w:sz w:val="24"/>
          <w:szCs w:val="24"/>
          <w:rtl w:val="0"/>
        </w:rPr>
        <w:br w:type="textWrapping"/>
      </w:r>
      <w:r>
        <w:rPr>
          <w:color w:val="38761D"/>
          <w:sz w:val="24"/>
          <w:szCs w:val="24"/>
          <w:rtl w:val="0"/>
        </w:rPr>
        <w:t xml:space="preserve"> ○ Tissue imaging and histology, spatial, multimodal, transcriptomics, genomics and epigenomics</w:t>
      </w:r>
    </w:p>
    <w:p w14:paraId="0000006C">
      <w:pPr>
        <w:spacing w:before="240" w:after="240"/>
        <w:rPr>
          <w:color w:val="38761D"/>
          <w:sz w:val="24"/>
          <w:szCs w:val="24"/>
        </w:rPr>
      </w:pPr>
      <w:r>
        <w:rPr>
          <w:color w:val="38761D"/>
          <w:sz w:val="24"/>
          <w:szCs w:val="24"/>
          <w:rtl w:val="0"/>
        </w:rPr>
        <w:t>● Foundation models</w:t>
      </w:r>
      <w:r>
        <w:rPr>
          <w:color w:val="38761D"/>
          <w:sz w:val="24"/>
          <w:szCs w:val="24"/>
          <w:rtl w:val="0"/>
        </w:rPr>
        <w:br w:type="textWrapping"/>
      </w:r>
      <w:r>
        <w:rPr>
          <w:color w:val="38761D"/>
          <w:sz w:val="24"/>
          <w:szCs w:val="24"/>
          <w:rtl w:val="0"/>
        </w:rPr>
        <w:t xml:space="preserve"> ○ GeneFormeR</w:t>
      </w:r>
      <w:r>
        <w:rPr>
          <w:color w:val="38761D"/>
          <w:sz w:val="24"/>
          <w:szCs w:val="24"/>
          <w:rtl w:val="0"/>
        </w:rPr>
        <w:br w:type="textWrapping"/>
      </w:r>
      <w:r>
        <w:rPr>
          <w:color w:val="38761D"/>
          <w:sz w:val="24"/>
          <w:szCs w:val="24"/>
          <w:rtl w:val="0"/>
        </w:rPr>
        <w:t xml:space="preserve"> ○ scGPT</w:t>
      </w:r>
      <w:r>
        <w:rPr>
          <w:color w:val="38761D"/>
          <w:sz w:val="24"/>
          <w:szCs w:val="24"/>
          <w:rtl w:val="0"/>
        </w:rPr>
        <w:br w:type="textWrapping"/>
      </w:r>
      <w:r>
        <w:rPr>
          <w:color w:val="38761D"/>
          <w:sz w:val="24"/>
          <w:szCs w:val="24"/>
          <w:rtl w:val="0"/>
        </w:rPr>
        <w:t xml:space="preserve"> ○ scFoundation</w:t>
      </w:r>
      <w:r>
        <w:rPr>
          <w:color w:val="38761D"/>
          <w:sz w:val="24"/>
          <w:szCs w:val="24"/>
          <w:rtl w:val="0"/>
        </w:rPr>
        <w:br w:type="textWrapping"/>
      </w:r>
      <w:r>
        <w:rPr>
          <w:color w:val="38761D"/>
          <w:sz w:val="24"/>
          <w:szCs w:val="24"/>
          <w:rtl w:val="0"/>
        </w:rPr>
        <w:t xml:space="preserve"> ○ Universal Cell Embedding</w:t>
      </w:r>
      <w:r>
        <w:rPr>
          <w:color w:val="38761D"/>
          <w:sz w:val="24"/>
          <w:szCs w:val="24"/>
          <w:rtl w:val="0"/>
        </w:rPr>
        <w:br w:type="textWrapping"/>
      </w:r>
      <w:r>
        <w:rPr>
          <w:color w:val="38761D"/>
          <w:sz w:val="24"/>
          <w:szCs w:val="24"/>
          <w:rtl w:val="0"/>
        </w:rPr>
        <w:t xml:space="preserve"> ○ SCimilarity</w:t>
      </w:r>
      <w:r>
        <w:rPr>
          <w:color w:val="38761D"/>
          <w:sz w:val="24"/>
          <w:szCs w:val="24"/>
          <w:rtl w:val="0"/>
        </w:rPr>
        <w:br w:type="textWrapping"/>
      </w:r>
      <w:r>
        <w:rPr>
          <w:color w:val="38761D"/>
          <w:sz w:val="24"/>
          <w:szCs w:val="24"/>
          <w:rtl w:val="0"/>
        </w:rPr>
        <w:t xml:space="preserve"> ■ Graph-based approximate nearest neighbor search</w:t>
      </w:r>
    </w:p>
    <w:p w14:paraId="0000006D">
      <w:pPr>
        <w:pStyle w:val="4"/>
        <w:keepNext w:val="0"/>
        <w:keepLines w:val="0"/>
        <w:spacing w:before="280"/>
        <w:rPr>
          <w:b/>
          <w:bCs/>
          <w:color w:val="38761D"/>
          <w:sz w:val="24"/>
          <w:szCs w:val="24"/>
        </w:rPr>
      </w:pPr>
      <w:bookmarkStart w:id="17" w:name="_bausto940fu3" w:colFirst="0" w:colLast="0"/>
      <w:bookmarkEnd w:id="17"/>
      <w:r>
        <w:rPr>
          <w:b/>
          <w:bCs/>
          <w:color w:val="38761D"/>
          <w:sz w:val="24"/>
          <w:szCs w:val="24"/>
          <w:rtl w:val="0"/>
        </w:rPr>
        <w:t>Downstream Tasks</w:t>
      </w:r>
    </w:p>
    <w:p w14:paraId="0000006E">
      <w:pPr>
        <w:spacing w:before="240" w:after="240"/>
        <w:rPr>
          <w:color w:val="38761D"/>
          <w:sz w:val="24"/>
          <w:szCs w:val="24"/>
        </w:rPr>
      </w:pPr>
      <w:r>
        <w:rPr>
          <w:color w:val="38761D"/>
          <w:sz w:val="24"/>
          <w:szCs w:val="24"/>
          <w:rtl w:val="0"/>
        </w:rPr>
        <w:t>○ Integrating new data</w:t>
      </w:r>
      <w:r>
        <w:rPr>
          <w:color w:val="38761D"/>
          <w:sz w:val="24"/>
          <w:szCs w:val="24"/>
          <w:rtl w:val="0"/>
        </w:rPr>
        <w:br w:type="textWrapping"/>
      </w:r>
      <w:r>
        <w:rPr>
          <w:color w:val="38761D"/>
          <w:sz w:val="24"/>
          <w:szCs w:val="24"/>
          <w:rtl w:val="0"/>
        </w:rPr>
        <w:t xml:space="preserve"> ○ Cell annotations</w:t>
      </w:r>
      <w:r>
        <w:rPr>
          <w:color w:val="38761D"/>
          <w:sz w:val="24"/>
          <w:szCs w:val="24"/>
          <w:rtl w:val="0"/>
        </w:rPr>
        <w:br w:type="textWrapping"/>
      </w:r>
      <w:r>
        <w:rPr>
          <w:color w:val="38761D"/>
          <w:sz w:val="24"/>
          <w:szCs w:val="24"/>
          <w:rtl w:val="0"/>
        </w:rPr>
        <w:t xml:space="preserve"> ○ Identification of marker gene signatures</w:t>
      </w:r>
      <w:r>
        <w:rPr>
          <w:color w:val="38761D"/>
          <w:sz w:val="24"/>
          <w:szCs w:val="24"/>
          <w:rtl w:val="0"/>
        </w:rPr>
        <w:br w:type="textWrapping"/>
      </w:r>
      <w:r>
        <w:rPr>
          <w:color w:val="38761D"/>
          <w:sz w:val="24"/>
          <w:szCs w:val="24"/>
          <w:rtl w:val="0"/>
        </w:rPr>
        <w:t xml:space="preserve"> ○ Prediction of perturbation outcomes</w:t>
      </w:r>
      <w:r>
        <w:rPr>
          <w:color w:val="38761D"/>
          <w:sz w:val="24"/>
          <w:szCs w:val="24"/>
          <w:rtl w:val="0"/>
        </w:rPr>
        <w:br w:type="textWrapping"/>
      </w:r>
      <w:r>
        <w:rPr>
          <w:color w:val="38761D"/>
          <w:sz w:val="24"/>
          <w:szCs w:val="24"/>
          <w:rtl w:val="0"/>
        </w:rPr>
        <w:t xml:space="preserve"> ○ Querying for cell entire cell profiles across a full atlas</w:t>
      </w:r>
    </w:p>
    <w:p w14:paraId="0000006F">
      <w:pPr>
        <w:spacing w:before="240" w:after="240"/>
        <w:rPr>
          <w:color w:val="38761D"/>
          <w:sz w:val="24"/>
          <w:szCs w:val="24"/>
        </w:rPr>
      </w:pPr>
      <w:r>
        <w:rPr>
          <w:color w:val="38761D"/>
          <w:sz w:val="24"/>
          <w:szCs w:val="24"/>
          <w:rtl w:val="0"/>
        </w:rPr>
        <w:t xml:space="preserve"> Foundation models enable tasks such as integration, annotation, and prediction.</w:t>
      </w:r>
    </w:p>
    <w:p w14:paraId="00000070">
      <w:pPr>
        <w:spacing w:before="240" w:after="240"/>
        <w:rPr>
          <w:sz w:val="24"/>
          <w:szCs w:val="24"/>
        </w:rPr>
      </w:pPr>
    </w:p>
    <w:p w14:paraId="00000071">
      <w:pPr>
        <w:pStyle w:val="3"/>
        <w:keepNext w:val="0"/>
        <w:keepLines w:val="0"/>
        <w:spacing w:after="80"/>
        <w:rPr>
          <w:color w:val="F1C232"/>
          <w:sz w:val="28"/>
          <w:szCs w:val="28"/>
        </w:rPr>
      </w:pPr>
      <w:bookmarkStart w:id="18" w:name="_w3mfoi1cmvuk" w:colFirst="0" w:colLast="0"/>
      <w:bookmarkEnd w:id="18"/>
      <w:r>
        <w:rPr>
          <w:b/>
          <w:bCs/>
          <w:sz w:val="28"/>
          <w:szCs w:val="28"/>
          <w:rtl w:val="0"/>
        </w:rPr>
        <w:t>4. Discussion / Comments</w:t>
      </w:r>
    </w:p>
    <w:p w14:paraId="00000072">
      <w:pPr>
        <w:rPr>
          <w:color w:val="F1C232"/>
          <w:sz w:val="24"/>
          <w:szCs w:val="24"/>
        </w:rPr>
      </w:pPr>
      <w:r>
        <w:rPr>
          <w:color w:val="F1C232"/>
          <w:sz w:val="24"/>
          <w:szCs w:val="24"/>
          <w:rtl w:val="0"/>
        </w:rPr>
        <w:t>This lecture is structured as a coherent computational pipeline from measurement to biological interpretation. The overall message is not merely that single-cell data offer finer resolution than bulk data, but that they support a layered inferential workflow:</w:t>
      </w:r>
    </w:p>
    <w:p w14:paraId="00000073">
      <w:pPr>
        <w:numPr>
          <w:ilvl w:val="0"/>
          <w:numId w:val="7"/>
        </w:numPr>
        <w:ind w:left="720" w:hanging="360"/>
        <w:rPr>
          <w:color w:val="F1C232"/>
          <w:sz w:val="24"/>
          <w:szCs w:val="24"/>
        </w:rPr>
      </w:pPr>
      <w:r>
        <w:rPr>
          <w:color w:val="F1C232"/>
          <w:sz w:val="24"/>
          <w:szCs w:val="24"/>
          <w:rtl w:val="0"/>
        </w:rPr>
        <w:t>measure cells individually,</w:t>
      </w:r>
    </w:p>
    <w:p w14:paraId="00000074">
      <w:pPr>
        <w:numPr>
          <w:ilvl w:val="0"/>
          <w:numId w:val="7"/>
        </w:numPr>
        <w:ind w:left="720" w:hanging="360"/>
        <w:rPr>
          <w:color w:val="F1C232"/>
          <w:sz w:val="24"/>
          <w:szCs w:val="24"/>
        </w:rPr>
      </w:pPr>
      <w:r>
        <w:rPr>
          <w:color w:val="F1C232"/>
          <w:sz w:val="24"/>
          <w:szCs w:val="24"/>
          <w:rtl w:val="0"/>
        </w:rPr>
        <w:t>convert reads into a count matrix,</w:t>
      </w:r>
    </w:p>
    <w:p w14:paraId="00000075">
      <w:pPr>
        <w:numPr>
          <w:ilvl w:val="0"/>
          <w:numId w:val="7"/>
        </w:numPr>
        <w:ind w:left="720" w:hanging="360"/>
        <w:rPr>
          <w:color w:val="F1C232"/>
          <w:sz w:val="24"/>
          <w:szCs w:val="24"/>
        </w:rPr>
      </w:pPr>
      <w:r>
        <w:rPr>
          <w:color w:val="F1C232"/>
          <w:sz w:val="24"/>
          <w:szCs w:val="24"/>
          <w:rtl w:val="0"/>
        </w:rPr>
        <w:t>remove technical artifacts and stabilize variance,</w:t>
      </w:r>
    </w:p>
    <w:p w14:paraId="00000076">
      <w:pPr>
        <w:numPr>
          <w:ilvl w:val="0"/>
          <w:numId w:val="7"/>
        </w:numPr>
        <w:ind w:left="720" w:hanging="360"/>
        <w:rPr>
          <w:color w:val="F1C232"/>
          <w:sz w:val="24"/>
          <w:szCs w:val="24"/>
        </w:rPr>
      </w:pPr>
      <w:r>
        <w:rPr>
          <w:color w:val="F1C232"/>
          <w:sz w:val="24"/>
          <w:szCs w:val="24"/>
          <w:rtl w:val="0"/>
        </w:rPr>
        <w:t>represent cells in lower-dimensional spaces,</w:t>
      </w:r>
    </w:p>
    <w:p w14:paraId="00000077">
      <w:pPr>
        <w:numPr>
          <w:ilvl w:val="0"/>
          <w:numId w:val="7"/>
        </w:numPr>
        <w:ind w:left="720" w:hanging="360"/>
        <w:rPr>
          <w:color w:val="F1C232"/>
          <w:sz w:val="24"/>
          <w:szCs w:val="24"/>
        </w:rPr>
      </w:pPr>
      <w:r>
        <w:rPr>
          <w:color w:val="F1C232"/>
          <w:sz w:val="24"/>
          <w:szCs w:val="24"/>
          <w:rtl w:val="0"/>
        </w:rPr>
        <w:t>infer clusters, developmental paths, and directional changes,</w:t>
      </w:r>
    </w:p>
    <w:p w14:paraId="00000078">
      <w:pPr>
        <w:numPr>
          <w:ilvl w:val="0"/>
          <w:numId w:val="7"/>
        </w:numPr>
        <w:ind w:left="720" w:hanging="360"/>
        <w:rPr>
          <w:color w:val="F1C232"/>
          <w:sz w:val="24"/>
          <w:szCs w:val="24"/>
        </w:rPr>
      </w:pPr>
      <w:r>
        <w:rPr>
          <w:color w:val="F1C232"/>
          <w:sz w:val="24"/>
          <w:szCs w:val="24"/>
          <w:rtl w:val="0"/>
        </w:rPr>
        <w:t xml:space="preserve">compare new observations against large reference atlases and learned representations. </w:t>
      </w:r>
    </w:p>
    <w:p w14:paraId="00000079">
      <w:pPr>
        <w:ind w:left="720" w:firstLine="0"/>
        <w:rPr>
          <w:color w:val="F1C232"/>
          <w:sz w:val="24"/>
          <w:szCs w:val="24"/>
        </w:rPr>
      </w:pPr>
    </w:p>
    <w:p w14:paraId="0000007A">
      <w:pPr>
        <w:ind w:left="0" w:firstLine="0"/>
        <w:rPr>
          <w:color w:val="F1C232"/>
          <w:sz w:val="24"/>
          <w:szCs w:val="24"/>
        </w:rPr>
      </w:pPr>
      <w:r>
        <w:rPr>
          <w:color w:val="F1C232"/>
          <w:sz w:val="24"/>
          <w:szCs w:val="24"/>
          <w:rtl w:val="0"/>
        </w:rPr>
        <w:t>Single-cell methods are powerful precisely because they avoid averaging, but this comes with measurement noise and incompleteness at the level of each cell (especially for RNA capture), making pipelines heavily dependent on QC, normalization, and modeling assumptions.</w:t>
      </w:r>
    </w:p>
    <w:p w14:paraId="0000007B">
      <w:pPr>
        <w:spacing w:before="240" w:after="240"/>
        <w:rPr>
          <w:color w:val="FF0000"/>
          <w:sz w:val="24"/>
          <w:szCs w:val="24"/>
        </w:rPr>
      </w:pPr>
    </w:p>
    <w:p w14:paraId="0000007C">
      <w:pPr>
        <w:spacing w:before="240" w:after="240"/>
        <w:rPr>
          <w:b/>
          <w:bCs/>
          <w:sz w:val="28"/>
          <w:szCs w:val="28"/>
        </w:rPr>
      </w:pPr>
      <w:r>
        <w:rPr>
          <w:b/>
          <w:bCs/>
          <w:sz w:val="28"/>
          <w:szCs w:val="28"/>
          <w:rtl w:val="0"/>
        </w:rPr>
        <w:t>Reference</w:t>
      </w:r>
    </w:p>
    <w:p w14:paraId="0000007D">
      <w:pPr>
        <w:numPr>
          <w:ilvl w:val="0"/>
          <w:numId w:val="8"/>
        </w:numPr>
        <w:spacing w:before="240" w:after="0" w:afterAutospacing="0"/>
        <w:ind w:left="720" w:hanging="360"/>
        <w:rPr>
          <w:color w:val="F1C232"/>
          <w:sz w:val="24"/>
          <w:szCs w:val="24"/>
        </w:rPr>
      </w:pPr>
      <w:r>
        <w:rPr>
          <w:color w:val="F1C232"/>
          <w:sz w:val="24"/>
          <w:szCs w:val="24"/>
          <w:rtl w:val="0"/>
        </w:rPr>
        <w:t>Lecture slides: CB&amp;B 7520 Biomedical Data Science: Mining and Modeling — Single-Cell Analysis, March 25, 2026.</w:t>
      </w:r>
    </w:p>
    <w:p w14:paraId="0000007E">
      <w:pPr>
        <w:numPr>
          <w:ilvl w:val="0"/>
          <w:numId w:val="8"/>
        </w:numPr>
        <w:spacing w:before="0" w:beforeAutospacing="0" w:after="0" w:afterAutospacing="0"/>
        <w:ind w:left="720" w:hanging="360"/>
        <w:rPr>
          <w:color w:val="F1C232"/>
          <w:sz w:val="24"/>
          <w:szCs w:val="24"/>
        </w:rPr>
      </w:pPr>
      <w:r>
        <w:rPr>
          <w:color w:val="F1C232"/>
          <w:sz w:val="24"/>
          <w:szCs w:val="24"/>
          <w:rtl w:val="0"/>
        </w:rPr>
        <w:t xml:space="preserve">Sungnak, W. et al. “SARS-CoV-2 entry </w:t>
      </w:r>
      <w:bookmarkStart w:id="19" w:name="_GoBack"/>
      <w:bookmarkEnd w:id="19"/>
      <w:r>
        <w:rPr>
          <w:color w:val="F1C232"/>
          <w:sz w:val="24"/>
          <w:szCs w:val="24"/>
          <w:rtl w:val="0"/>
        </w:rPr>
        <w:t>factors are highly expressed in nasal epithelial cells together with innate immune genes.” Nature Medicine, 2020.</w:t>
      </w:r>
    </w:p>
    <w:p w14:paraId="0000007F">
      <w:pPr>
        <w:numPr>
          <w:ilvl w:val="0"/>
          <w:numId w:val="8"/>
        </w:numPr>
        <w:spacing w:before="0" w:beforeAutospacing="0" w:after="0" w:afterAutospacing="0"/>
        <w:ind w:left="720" w:hanging="360"/>
        <w:rPr>
          <w:color w:val="F1C232"/>
          <w:sz w:val="24"/>
          <w:szCs w:val="24"/>
        </w:rPr>
      </w:pPr>
      <w:r>
        <w:rPr>
          <w:color w:val="F1C232"/>
          <w:sz w:val="24"/>
          <w:szCs w:val="24"/>
          <w:rtl w:val="0"/>
        </w:rPr>
        <w:t>Neftel, C. et al. “An integrative model of cellular states, plasticity, and genetics for glioblastoma.” Cell, 2019.</w:t>
      </w:r>
    </w:p>
    <w:p w14:paraId="00000080">
      <w:pPr>
        <w:numPr>
          <w:ilvl w:val="0"/>
          <w:numId w:val="8"/>
        </w:numPr>
        <w:spacing w:before="0" w:beforeAutospacing="0" w:after="0" w:afterAutospacing="0"/>
        <w:ind w:left="720" w:hanging="360"/>
        <w:rPr>
          <w:color w:val="F1C232"/>
          <w:sz w:val="24"/>
          <w:szCs w:val="24"/>
        </w:rPr>
      </w:pPr>
      <w:r>
        <w:rPr>
          <w:color w:val="F1C232"/>
          <w:sz w:val="24"/>
          <w:szCs w:val="24"/>
          <w:rtl w:val="0"/>
        </w:rPr>
        <w:t>Hafemeister, C. and Satija, R. “Normalization and variance stabilization of single-cell RNA-seq data using regularized negative binomial regression.” Genome Biology, 2019.</w:t>
      </w:r>
    </w:p>
    <w:p w14:paraId="00000081">
      <w:pPr>
        <w:numPr>
          <w:ilvl w:val="0"/>
          <w:numId w:val="8"/>
        </w:numPr>
        <w:spacing w:before="0" w:beforeAutospacing="0" w:after="0" w:afterAutospacing="0"/>
        <w:ind w:left="720" w:hanging="360"/>
        <w:rPr>
          <w:color w:val="F1C232"/>
          <w:sz w:val="24"/>
          <w:szCs w:val="24"/>
        </w:rPr>
      </w:pPr>
      <w:r>
        <w:rPr>
          <w:color w:val="F1C232"/>
          <w:sz w:val="24"/>
          <w:szCs w:val="24"/>
          <w:rtl w:val="0"/>
        </w:rPr>
        <w:t>Seurat documentation: NormalizeData, SCTransform, and FindVariableFeatures.</w:t>
      </w:r>
    </w:p>
    <w:p w14:paraId="00000082">
      <w:pPr>
        <w:numPr>
          <w:ilvl w:val="0"/>
          <w:numId w:val="8"/>
        </w:numPr>
        <w:spacing w:before="0" w:beforeAutospacing="0" w:after="0" w:afterAutospacing="0"/>
        <w:ind w:left="720" w:hanging="360"/>
        <w:rPr>
          <w:color w:val="F1C232"/>
          <w:sz w:val="24"/>
          <w:szCs w:val="24"/>
        </w:rPr>
      </w:pPr>
      <w:r>
        <w:rPr>
          <w:color w:val="F1C232"/>
          <w:sz w:val="24"/>
          <w:szCs w:val="24"/>
          <w:rtl w:val="0"/>
        </w:rPr>
        <w:t>Scanpy documentation: highly_variable_genes.</w:t>
      </w:r>
    </w:p>
    <w:p w14:paraId="00000083">
      <w:pPr>
        <w:numPr>
          <w:ilvl w:val="0"/>
          <w:numId w:val="8"/>
        </w:numPr>
        <w:spacing w:before="0" w:beforeAutospacing="0" w:after="0" w:afterAutospacing="0"/>
        <w:ind w:left="720" w:hanging="360"/>
        <w:rPr>
          <w:color w:val="F1C232"/>
          <w:sz w:val="24"/>
          <w:szCs w:val="24"/>
        </w:rPr>
      </w:pPr>
      <w:r>
        <w:rPr>
          <w:color w:val="F1C232"/>
          <w:sz w:val="24"/>
          <w:szCs w:val="24"/>
          <w:rtl w:val="0"/>
        </w:rPr>
        <w:t>Pearson, K. “On lines and planes of closest fit to systems of points in space.” 1901.</w:t>
      </w:r>
    </w:p>
    <w:p w14:paraId="00000084">
      <w:pPr>
        <w:numPr>
          <w:ilvl w:val="0"/>
          <w:numId w:val="8"/>
        </w:numPr>
        <w:spacing w:before="0" w:beforeAutospacing="0" w:after="0" w:afterAutospacing="0"/>
        <w:ind w:left="720" w:hanging="360"/>
        <w:rPr>
          <w:color w:val="F1C232"/>
          <w:sz w:val="24"/>
          <w:szCs w:val="24"/>
        </w:rPr>
      </w:pPr>
      <w:r>
        <w:rPr>
          <w:color w:val="F1C232"/>
          <w:sz w:val="24"/>
          <w:szCs w:val="24"/>
          <w:rtl w:val="0"/>
        </w:rPr>
        <w:t>Hotelling, H. “Analysis of a complex of statistical variables into principal components.” 1933.</w:t>
      </w:r>
    </w:p>
    <w:p w14:paraId="00000085">
      <w:pPr>
        <w:numPr>
          <w:ilvl w:val="0"/>
          <w:numId w:val="8"/>
        </w:numPr>
        <w:spacing w:before="0" w:beforeAutospacing="0" w:after="0" w:afterAutospacing="0"/>
        <w:ind w:left="720" w:hanging="360"/>
        <w:rPr>
          <w:color w:val="F1C232"/>
          <w:sz w:val="24"/>
          <w:szCs w:val="24"/>
        </w:rPr>
      </w:pPr>
      <w:r>
        <w:rPr>
          <w:color w:val="F1C232"/>
          <w:sz w:val="24"/>
          <w:szCs w:val="24"/>
          <w:rtl w:val="0"/>
        </w:rPr>
        <w:t>van der Maaten, L. and Hinton, G. “Visualizing Data using t-SNE.” Journal of Machine Learning Research, 2008.</w:t>
      </w:r>
    </w:p>
    <w:p w14:paraId="00000086">
      <w:pPr>
        <w:numPr>
          <w:ilvl w:val="0"/>
          <w:numId w:val="8"/>
        </w:numPr>
        <w:spacing w:before="0" w:beforeAutospacing="0" w:after="0" w:afterAutospacing="0"/>
        <w:ind w:left="720" w:hanging="360"/>
        <w:rPr>
          <w:color w:val="F1C232"/>
          <w:sz w:val="24"/>
          <w:szCs w:val="24"/>
        </w:rPr>
      </w:pPr>
      <w:r>
        <w:rPr>
          <w:color w:val="F1C232"/>
          <w:sz w:val="24"/>
          <w:szCs w:val="24"/>
          <w:rtl w:val="0"/>
        </w:rPr>
        <w:t>McInnes, L., Healy, J., and Melville, J. “UMAP: Uniform Manifold Approximation and Projection for Dimension Reduction.” 2018.</w:t>
      </w:r>
    </w:p>
    <w:p w14:paraId="00000087">
      <w:pPr>
        <w:numPr>
          <w:ilvl w:val="0"/>
          <w:numId w:val="8"/>
        </w:numPr>
        <w:spacing w:before="0" w:beforeAutospacing="0" w:after="0" w:afterAutospacing="0"/>
        <w:ind w:left="720" w:hanging="360"/>
        <w:rPr>
          <w:color w:val="F1C232"/>
          <w:sz w:val="24"/>
          <w:szCs w:val="24"/>
        </w:rPr>
      </w:pPr>
      <w:r>
        <w:rPr>
          <w:color w:val="F1C232"/>
          <w:sz w:val="24"/>
          <w:szCs w:val="24"/>
          <w:rtl w:val="0"/>
        </w:rPr>
        <w:t>Narayan, A., Berger, B., and Cho, H. “Assessing single-cell transcriptomic variability through density-preserving data visualization.” Nature Biotechnology, 2021.</w:t>
      </w:r>
    </w:p>
    <w:p w14:paraId="00000088">
      <w:pPr>
        <w:numPr>
          <w:ilvl w:val="0"/>
          <w:numId w:val="8"/>
        </w:numPr>
        <w:spacing w:before="0" w:beforeAutospacing="0" w:after="0" w:afterAutospacing="0"/>
        <w:ind w:left="720" w:hanging="360"/>
        <w:rPr>
          <w:color w:val="F1C232"/>
          <w:sz w:val="24"/>
          <w:szCs w:val="24"/>
        </w:rPr>
      </w:pPr>
      <w:r>
        <w:rPr>
          <w:color w:val="F1C232"/>
          <w:sz w:val="24"/>
          <w:szCs w:val="24"/>
          <w:rtl w:val="0"/>
        </w:rPr>
        <w:t>Qiu, X. et al. “Reversed graph embedding resolves complex single-cell trajectories.” Nature Methods, 2017.</w:t>
      </w:r>
    </w:p>
    <w:p w14:paraId="00000089">
      <w:pPr>
        <w:numPr>
          <w:ilvl w:val="0"/>
          <w:numId w:val="8"/>
        </w:numPr>
        <w:spacing w:before="0" w:beforeAutospacing="0" w:after="0" w:afterAutospacing="0"/>
        <w:ind w:left="720" w:hanging="360"/>
        <w:rPr>
          <w:color w:val="F1C232"/>
          <w:sz w:val="24"/>
          <w:szCs w:val="24"/>
        </w:rPr>
      </w:pPr>
      <w:r>
        <w:rPr>
          <w:color w:val="F1C232"/>
          <w:sz w:val="24"/>
          <w:szCs w:val="24"/>
          <w:rtl w:val="0"/>
        </w:rPr>
        <w:t>Cao, J. et al. Nature, 2019; Monocle 3 framework and related documentation.</w:t>
      </w:r>
    </w:p>
    <w:p w14:paraId="0000008A">
      <w:pPr>
        <w:numPr>
          <w:ilvl w:val="0"/>
          <w:numId w:val="8"/>
        </w:numPr>
        <w:spacing w:before="0" w:beforeAutospacing="0" w:after="0" w:afterAutospacing="0"/>
        <w:ind w:left="720" w:hanging="360"/>
        <w:rPr>
          <w:color w:val="F1C232"/>
          <w:sz w:val="24"/>
          <w:szCs w:val="24"/>
        </w:rPr>
      </w:pPr>
      <w:r>
        <w:rPr>
          <w:color w:val="F1C232"/>
          <w:sz w:val="24"/>
          <w:szCs w:val="24"/>
          <w:rtl w:val="0"/>
        </w:rPr>
        <w:t>La Manno, G. et al. “RNA velocity of single cells.” Nature, 2018.</w:t>
      </w:r>
    </w:p>
    <w:p w14:paraId="0000008B">
      <w:pPr>
        <w:numPr>
          <w:ilvl w:val="0"/>
          <w:numId w:val="8"/>
        </w:numPr>
        <w:spacing w:before="0" w:beforeAutospacing="0" w:after="0" w:afterAutospacing="0"/>
        <w:ind w:left="720" w:hanging="360"/>
        <w:rPr>
          <w:color w:val="F1C232"/>
          <w:sz w:val="24"/>
          <w:szCs w:val="24"/>
        </w:rPr>
      </w:pPr>
      <w:r>
        <w:rPr>
          <w:color w:val="F1C232"/>
          <w:sz w:val="24"/>
          <w:szCs w:val="24"/>
          <w:rtl w:val="0"/>
        </w:rPr>
        <w:t>Bergen, V. et al. “RNA velocity—current challenges and future perspectives.” Molecular Systems Biology, 2021.</w:t>
      </w:r>
    </w:p>
    <w:p w14:paraId="0000008C">
      <w:pPr>
        <w:numPr>
          <w:ilvl w:val="0"/>
          <w:numId w:val="8"/>
        </w:numPr>
        <w:spacing w:before="0" w:beforeAutospacing="0" w:after="0" w:afterAutospacing="0"/>
        <w:ind w:left="720" w:hanging="360"/>
        <w:rPr>
          <w:color w:val="F1C232"/>
          <w:sz w:val="24"/>
          <w:szCs w:val="24"/>
        </w:rPr>
      </w:pPr>
      <w:r>
        <w:rPr>
          <w:color w:val="F1C232"/>
          <w:sz w:val="24"/>
          <w:szCs w:val="24"/>
          <w:rtl w:val="0"/>
        </w:rPr>
        <w:t>Rood, J. E. et al. Nature, 2025, on single-cell atlases and foundation-model directions.</w:t>
      </w:r>
    </w:p>
    <w:p w14:paraId="0000008D">
      <w:pPr>
        <w:numPr>
          <w:ilvl w:val="0"/>
          <w:numId w:val="8"/>
        </w:numPr>
        <w:spacing w:before="0" w:beforeAutospacing="0" w:after="240"/>
        <w:ind w:left="720" w:hanging="360"/>
        <w:rPr>
          <w:color w:val="F1C232"/>
          <w:sz w:val="24"/>
          <w:szCs w:val="24"/>
        </w:rPr>
      </w:pPr>
      <w:r>
        <w:rPr>
          <w:color w:val="F1C232"/>
          <w:sz w:val="24"/>
          <w:szCs w:val="24"/>
          <w:rtl w:val="0"/>
        </w:rPr>
        <w:t xml:space="preserve">Heimberg, G. et al. Nature, 2025, on SCimilarity and cell-search foundation models. </w:t>
      </w:r>
    </w:p>
    <w:p w14:paraId="0000008E">
      <w:pPr>
        <w:spacing w:before="240" w:after="240"/>
        <w:rPr>
          <w:color w:val="FF0000"/>
          <w:sz w:val="24"/>
          <w:szCs w:val="24"/>
        </w:rPr>
      </w:pPr>
    </w:p>
    <w:sectPr>
      <w:pgSz w:w="12240" w:h="15840"/>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汉仪书宋二KW"/>
    <w:panose1 w:val="00000000000000000000"/>
    <w:charset w:val="86"/>
    <w:family w:val="auto"/>
    <w:pitch w:val="default"/>
    <w:sig w:usb0="00000000" w:usb1="00000000" w:usb2="00000000" w:usb3="00000000" w:csb0="00000000" w:csb1="00000000"/>
  </w:font>
  <w:font w:name="Arial">
    <w:panose1 w:val="020B0604020202090204"/>
    <w:charset w:val="86"/>
    <w:family w:val="swiss"/>
    <w:pitch w:val="default"/>
    <w:sig w:usb0="E0000AFF" w:usb1="00007843" w:usb2="00000001" w:usb3="00000000" w:csb0="400001BF" w:csb1="DFF70000"/>
    <w:embedRegular r:id="rId1" w:fontKey="{7FDBAF23-CC7E-5E27-9BEE-E66944F5DBAF}"/>
  </w:font>
  <w:font w:name="SimHei">
    <w:altName w:val="汉仪中黑KW"/>
    <w:panose1 w:val="02010600030101010101"/>
    <w:charset w:val="00"/>
    <w:family w:val="auto"/>
    <w:pitch w:val="default"/>
    <w:sig w:usb0="00000001" w:usb1="080E0000" w:usb2="00000010" w:usb3="00000000" w:csb0="00040000" w:csb1="00000000"/>
  </w:font>
  <w:font w:name="Courier New">
    <w:panose1 w:val="02070409020205090404"/>
    <w:charset w:val="00"/>
    <w:family w:val="modern"/>
    <w:pitch w:val="default"/>
    <w:sig w:usb0="E0000AFF" w:usb1="40007843" w:usb2="00000001" w:usb3="00000000" w:csb0="400001BF" w:csb1="DFF7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SimSun">
    <w:altName w:val="汉仪书宋二KW"/>
    <w:panose1 w:val="02010600030101010101"/>
    <w:charset w:val="86"/>
    <w:family w:val="auto"/>
    <w:pitch w:val="default"/>
    <w:sig w:usb0="00000000" w:usb1="00000000" w:usb2="00000016" w:usb3="00000000" w:csb0="00040001" w:csb1="00000000"/>
  </w:font>
  <w:font w:name="Arial Unicode MS">
    <w:panose1 w:val="020B0604020202020204"/>
    <w:charset w:val="86"/>
    <w:family w:val="auto"/>
    <w:pitch w:val="default"/>
    <w:sig w:usb0="FFFFFFFF" w:usb1="E9FFFFFF" w:usb2="0000003F" w:usb3="00000000" w:csb0="603F01FF" w:csb1="FFFF0000"/>
    <w:embedRegular r:id="rId2" w:fontKey="{372D6FAD-0024-0EFD-9BEE-E6693A3BE1DE}"/>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537350"/>
    <w:multiLevelType w:val="multilevel"/>
    <w:tmpl w:val="B7537350"/>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abstractNum w:abstractNumId="1">
    <w:nsid w:val="B7DC0E9F"/>
    <w:multiLevelType w:val="multilevel"/>
    <w:tmpl w:val="B7DC0E9F"/>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
    <w:nsid w:val="EFB2CCE7"/>
    <w:multiLevelType w:val="singleLevel"/>
    <w:tmpl w:val="EFB2CCE7"/>
    <w:lvl w:ilvl="0" w:tentative="0">
      <w:start w:val="2"/>
      <w:numFmt w:val="decimal"/>
      <w:suff w:val="space"/>
      <w:lvlText w:val="%1."/>
      <w:lvlJc w:val="left"/>
    </w:lvl>
  </w:abstractNum>
  <w:abstractNum w:abstractNumId="3">
    <w:nsid w:val="EFFA3E43"/>
    <w:multiLevelType w:val="multilevel"/>
    <w:tmpl w:val="EFFA3E43"/>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abstractNum w:abstractNumId="4">
    <w:nsid w:val="FFA7FCFC"/>
    <w:multiLevelType w:val="multilevel"/>
    <w:tmpl w:val="FFA7FCFC"/>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5">
    <w:nsid w:val="FFB754DB"/>
    <w:multiLevelType w:val="multilevel"/>
    <w:tmpl w:val="FFB754DB"/>
    <w:lvl w:ilvl="0" w:tentative="0">
      <w:start w:val="1"/>
      <w:numFmt w:val="bullet"/>
      <w:lvlText w:val="●"/>
      <w:lvlJc w:val="left"/>
      <w:pPr>
        <w:ind w:left="720" w:hanging="360"/>
      </w:pPr>
      <w:rPr>
        <w:u w:val="none"/>
      </w:rPr>
    </w:lvl>
    <w:lvl w:ilvl="1" w:tentative="0">
      <w:start w:val="4"/>
      <w:numFmt w:val="decimal"/>
      <w:lvlText w:val="%2."/>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6">
    <w:nsid w:val="1BBFBF92"/>
    <w:multiLevelType w:val="multilevel"/>
    <w:tmpl w:val="1BBFBF92"/>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7">
    <w:nsid w:val="6FED8E71"/>
    <w:multiLevelType w:val="multilevel"/>
    <w:tmpl w:val="6FED8E71"/>
    <w:lvl w:ilvl="0" w:tentative="0">
      <w:start w:val="1"/>
      <w:numFmt w:val="decimal"/>
      <w:lvlText w:val="%1."/>
      <w:lvlJc w:val="left"/>
      <w:pPr>
        <w:ind w:left="720" w:hanging="360"/>
      </w:pPr>
      <w:rPr>
        <w:sz w:val="22"/>
        <w:szCs w:val="22"/>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num w:numId="1">
    <w:abstractNumId w:val="2"/>
  </w:num>
  <w:num w:numId="2">
    <w:abstractNumId w:val="5"/>
  </w:num>
  <w:num w:numId="3">
    <w:abstractNumId w:val="1"/>
  </w:num>
  <w:num w:numId="4">
    <w:abstractNumId w:val="6"/>
  </w:num>
  <w:num w:numId="5">
    <w:abstractNumId w:val="0"/>
  </w:num>
  <w:num w:numId="6">
    <w:abstractNumId w:val="4"/>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8"/>
  <w:doNotDisplayPageBoundaries w:val="1"/>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FDDD5A9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en"/>
    </w:rPr>
  </w:style>
  <w:style w:type="paragraph" w:styleId="2">
    <w:name w:val="heading 1"/>
    <w:basedOn w:val="1"/>
    <w:next w:val="1"/>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9</Pages>
  <TotalTime>17</TotalTime>
  <ScaleCrop>false</ScaleCrop>
  <LinksUpToDate>false</LinksUpToDate>
  <Application>WPS Office_12.1.22553.22553_F1E327BC-269C-435d-A152-05C5408002CA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2026-04-20T23:07:40Z</dcterms:created>
  <dc:creator>Data</dc:creator>
  <cp:lastModifiedBy>克里木</cp:lastModifiedBy>
  <dcterms:modified xsi:type="dcterms:W3CDTF">2026-04-20T23:27:23Z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1033-12.1.22553.22553</vt:lpwstr>
  </property>
  <property fmtid="{D5CDD505-2E9C-101B-9397-08002B2CF9AE}" pid="3" name="ICV">
    <vt:lpwstr>79CE6CA30695574B9BEEE6697FAE0D53_42</vt:lpwstr>
  </property>
</Properties>
</file>