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7F5" w:rsidRPr="00AB37F5" w:rsidRDefault="00AB37F5" w:rsidP="00FF3153">
      <w:pPr>
        <w:jc w:val="both"/>
        <w:rPr>
          <w:rFonts w:ascii="Times New Roman" w:hAnsi="Times New Roman" w:cs="Times New Roman"/>
          <w:b/>
        </w:rPr>
      </w:pPr>
      <w:bookmarkStart w:id="0" w:name="_GoBack"/>
      <w:bookmarkEnd w:id="0"/>
      <w:r w:rsidRPr="00AB37F5">
        <w:rPr>
          <w:rFonts w:ascii="Times New Roman" w:hAnsi="Times New Roman" w:cs="Times New Roman"/>
          <w:b/>
        </w:rPr>
        <w:t>Experience in genome annotation</w:t>
      </w:r>
    </w:p>
    <w:p w:rsidR="00AB37F5" w:rsidRPr="00AB37F5" w:rsidRDefault="00AB37F5" w:rsidP="00FF3153">
      <w:pPr>
        <w:jc w:val="both"/>
        <w:rPr>
          <w:rFonts w:ascii="Times New Roman" w:hAnsi="Times New Roman" w:cs="Times New Roman"/>
        </w:rPr>
      </w:pPr>
      <w:r w:rsidRPr="00AB37F5">
        <w:rPr>
          <w:rFonts w:ascii="Times New Roman" w:hAnsi="Times New Roman" w:cs="Times New Roman"/>
        </w:rPr>
        <w:t>We have substantial experience in genome annotation, which we can leverage in interpreting functional genomics data and relating it to the reference. In collaboration with the UCSC and Sanger groups, we have developed a variety of methods to identify pseudogenes</w:t>
      </w:r>
      <w:r w:rsidRPr="00AB37F5">
        <w:rPr>
          <w:rFonts w:ascii="Times New Roman" w:hAnsi="Times New Roman" w:cs="Times New Roman"/>
          <w:noProof/>
        </w:rPr>
        <w:t>[1-3]</w:t>
      </w:r>
      <w:r w:rsidRPr="00AB37F5">
        <w:rPr>
          <w:rFonts w:ascii="Times New Roman" w:hAnsi="Times New Roman" w:cs="Times New Roman"/>
        </w:rPr>
        <w:t>. Also, as a member of the GENCODE project, we used the pipelines to identify pseudogenes in human, mouse, worm, fly, and other model organisms. Moreover, using data from the 1000 Genomes Project in addition to the pseudogene annotation resulting from our pipelines, we were able to study the impact of pseudogene in human population variation</w:t>
      </w:r>
      <w:r w:rsidRPr="00AB37F5">
        <w:rPr>
          <w:rFonts w:ascii="Times New Roman" w:hAnsi="Times New Roman" w:cs="Times New Roman"/>
          <w:noProof/>
        </w:rPr>
        <w:t>[4]</w:t>
      </w:r>
      <w:r w:rsidRPr="00AB37F5">
        <w:rPr>
          <w:rFonts w:ascii="Times New Roman" w:hAnsi="Times New Roman" w:cs="Times New Roman"/>
        </w:rPr>
        <w:t xml:space="preserve">. We were also able to associate their origin mechanism to cell division </w:t>
      </w:r>
      <w:r w:rsidRPr="00AB37F5">
        <w:rPr>
          <w:rFonts w:ascii="Times New Roman" w:hAnsi="Times New Roman" w:cs="Times New Roman"/>
          <w:noProof/>
        </w:rPr>
        <w:t>[5]</w:t>
      </w:r>
      <w:r w:rsidRPr="00AB37F5">
        <w:rPr>
          <w:rFonts w:ascii="Times New Roman" w:hAnsi="Times New Roman" w:cs="Times New Roman"/>
        </w:rPr>
        <w:t xml:space="preserve">. </w:t>
      </w:r>
    </w:p>
    <w:p w:rsidR="00AB37F5" w:rsidRPr="00AB37F5" w:rsidRDefault="00AB37F5" w:rsidP="00FF3153">
      <w:pPr>
        <w:jc w:val="both"/>
        <w:rPr>
          <w:rFonts w:ascii="Times New Roman" w:hAnsi="Times New Roman" w:cs="Times New Roman"/>
        </w:rPr>
      </w:pPr>
    </w:p>
    <w:p w:rsidR="00AB37F5" w:rsidRPr="00AB37F5" w:rsidRDefault="00AB37F5" w:rsidP="00FF3153">
      <w:pPr>
        <w:jc w:val="both"/>
        <w:rPr>
          <w:rFonts w:ascii="Times New Roman" w:hAnsi="Times New Roman" w:cs="Times New Roman"/>
          <w:b/>
        </w:rPr>
      </w:pPr>
      <w:r w:rsidRPr="00AB37F5">
        <w:rPr>
          <w:rFonts w:ascii="Times New Roman" w:hAnsi="Times New Roman" w:cs="Times New Roman"/>
          <w:b/>
        </w:rPr>
        <w:t>Experience in addressing questions related to the reference genome definition</w:t>
      </w:r>
    </w:p>
    <w:p w:rsidR="00AB37F5" w:rsidRPr="00AB37F5" w:rsidRDefault="00AB37F5" w:rsidP="00FF3153">
      <w:pPr>
        <w:jc w:val="both"/>
        <w:rPr>
          <w:rFonts w:ascii="Times New Roman" w:hAnsi="Times New Roman" w:cs="Times New Roman"/>
        </w:rPr>
      </w:pPr>
      <w:r w:rsidRPr="00AB37F5">
        <w:rPr>
          <w:rFonts w:ascii="Times New Roman" w:hAnsi="Times New Roman" w:cs="Times New Roman"/>
        </w:rPr>
        <w:t>The first wave of personal genomes documents how no single individual genome contains the full complement of functional genes. We have previously described the extent of variation in gene numbers between individuals arising from inactivation events such as premature termination or aberrant splicing due to single-nucleotide polymorphisms</w:t>
      </w:r>
      <w:r w:rsidRPr="00AB37F5">
        <w:rPr>
          <w:rFonts w:ascii="Times New Roman" w:hAnsi="Times New Roman" w:cs="Times New Roman"/>
          <w:noProof/>
        </w:rPr>
        <w:t>[6]</w:t>
      </w:r>
      <w:r w:rsidRPr="00AB37F5">
        <w:rPr>
          <w:rFonts w:ascii="Times New Roman" w:hAnsi="Times New Roman" w:cs="Times New Roman"/>
        </w:rPr>
        <w:t>. This highlights the inadequacy of the current reference sequence and gene set. We also presented and discussed extensively five models for selecting the reference allele: (1) the allele present in the current reference, (2) the allele present in a chosen high-quality individual genome, (3) the most common human allele, (4) the ancestral allele, and (5) the maximum coding potential allele. We proposed to define a reference gene set that will remain stable as more individuals are sequenced. In particular, we recommended that the ancestral allele be used to define the reference sequence from which a core human reference gene annotation set can be derived. Our discussion and conclusions were based on a survey of the sequence variations in 21 published personal genomes and exomes for nonsense SNPs and SNPs in canonical splice sites using a uniform gene annotation</w:t>
      </w:r>
      <w:r w:rsidRPr="00AB37F5">
        <w:rPr>
          <w:rFonts w:ascii="Times New Roman" w:hAnsi="Times New Roman" w:cs="Times New Roman"/>
          <w:noProof/>
        </w:rPr>
        <w:t>[6]</w:t>
      </w:r>
      <w:r w:rsidRPr="00AB37F5">
        <w:rPr>
          <w:rFonts w:ascii="Times New Roman" w:hAnsi="Times New Roman" w:cs="Times New Roman"/>
        </w:rPr>
        <w:t>.</w:t>
      </w:r>
    </w:p>
    <w:p w:rsidR="00AB37F5" w:rsidRPr="00AB37F5" w:rsidRDefault="00AB37F5" w:rsidP="00FF3153">
      <w:pPr>
        <w:spacing w:after="60" w:line="241" w:lineRule="exact"/>
        <w:rPr>
          <w:rFonts w:ascii="Times New Roman" w:hAnsi="Times New Roman" w:cs="Times New Roman"/>
          <w:b/>
        </w:rPr>
      </w:pPr>
      <w:bookmarkStart w:id="1" w:name="_Toc4094364"/>
    </w:p>
    <w:p w:rsidR="00AB37F5" w:rsidRPr="00AB37F5" w:rsidRDefault="00AB37F5" w:rsidP="00FF3153">
      <w:pPr>
        <w:spacing w:after="60" w:line="241" w:lineRule="exact"/>
        <w:rPr>
          <w:rFonts w:ascii="Times New Roman" w:hAnsi="Times New Roman" w:cs="Times New Roman"/>
        </w:rPr>
      </w:pPr>
      <w:r w:rsidRPr="00AB37F5">
        <w:rPr>
          <w:rFonts w:ascii="Times New Roman" w:hAnsi="Times New Roman" w:cs="Times New Roman"/>
          <w:b/>
        </w:rPr>
        <w:t>Experience in large scale variant calling</w:t>
      </w:r>
      <w:bookmarkEnd w:id="1"/>
      <w:r w:rsidRPr="00AB37F5">
        <w:rPr>
          <w:rFonts w:ascii="Times New Roman" w:hAnsi="Times New Roman" w:cs="Times New Roman"/>
        </w:rPr>
        <w:t>. This experience is through our membership in the 1000 Genomes Project, particularly from our participation in the analysis working group and the structural variant and functional interpretation subgroups of the consortium, where the majority of the variant calling tools were developed, deployed and interpreted</w:t>
      </w:r>
      <w:r w:rsidRPr="00AB37F5">
        <w:rPr>
          <w:rFonts w:ascii="Times New Roman" w:hAnsi="Times New Roman" w:cs="Times New Roman"/>
          <w:color w:val="000000"/>
        </w:rPr>
        <w:t xml:space="preserve"> </w:t>
      </w:r>
      <w:r w:rsidRPr="00AB37F5">
        <w:rPr>
          <w:rFonts w:ascii="Times New Roman" w:eastAsia="Times New Roman" w:hAnsi="Times New Roman" w:cs="Times New Roman"/>
          <w:noProof/>
          <w:color w:val="000000"/>
        </w:rPr>
        <w:t>[7-9]</w:t>
      </w:r>
      <w:r w:rsidRPr="00AB37F5">
        <w:rPr>
          <w:rFonts w:ascii="Times New Roman" w:hAnsi="Times New Roman" w:cs="Times New Roman"/>
        </w:rPr>
        <w:t>.</w:t>
      </w:r>
    </w:p>
    <w:p w:rsidR="00AB37F5" w:rsidRPr="00AB37F5" w:rsidRDefault="00AB37F5" w:rsidP="00FF3153">
      <w:pPr>
        <w:rPr>
          <w:rFonts w:ascii="Times New Roman" w:eastAsia="Times New Roman" w:hAnsi="Times New Roman" w:cs="Times New Roman"/>
        </w:rPr>
      </w:pPr>
      <w:r w:rsidRPr="00AB37F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1B858D8" wp14:editId="583537B9">
                <wp:simplePos x="0" y="0"/>
                <wp:positionH relativeFrom="margin">
                  <wp:posOffset>0</wp:posOffset>
                </wp:positionH>
                <wp:positionV relativeFrom="paragraph">
                  <wp:posOffset>1856740</wp:posOffset>
                </wp:positionV>
                <wp:extent cx="3114675" cy="635"/>
                <wp:effectExtent l="0" t="0" r="9525" b="8890"/>
                <wp:wrapSquare wrapText="bothSides"/>
                <wp:docPr id="9" name="Text Box 9"/>
                <wp:cNvGraphicFramePr/>
                <a:graphic xmlns:a="http://schemas.openxmlformats.org/drawingml/2006/main">
                  <a:graphicData uri="http://schemas.microsoft.com/office/word/2010/wordprocessingShape">
                    <wps:wsp>
                      <wps:cNvSpPr txBox="1"/>
                      <wps:spPr>
                        <a:xfrm>
                          <a:off x="0" y="0"/>
                          <a:ext cx="3114675" cy="635"/>
                        </a:xfrm>
                        <a:prstGeom prst="rect">
                          <a:avLst/>
                        </a:prstGeom>
                        <a:solidFill>
                          <a:prstClr val="white"/>
                        </a:solidFill>
                        <a:ln>
                          <a:noFill/>
                        </a:ln>
                        <a:effectLst/>
                      </wps:spPr>
                      <wps:txbx>
                        <w:txbxContent>
                          <w:p w:rsidR="00AB37F5" w:rsidRPr="00223D2E" w:rsidRDefault="00AB37F5" w:rsidP="00FF3153">
                            <w:pPr>
                              <w:pStyle w:val="Caption"/>
                              <w:rPr>
                                <w:b/>
                                <w:noProof/>
                                <w:color w:val="000000" w:themeColor="text1"/>
                                <w:sz w:val="22"/>
                              </w:rPr>
                            </w:pPr>
                            <w:r w:rsidRPr="00223D2E">
                              <w:rPr>
                                <w:b/>
                                <w:i w:val="0"/>
                                <w:color w:val="000000" w:themeColor="text1"/>
                                <w:sz w:val="22"/>
                                <w:szCs w:val="22"/>
                              </w:rPr>
                              <w:t xml:space="preserve">Fig </w:t>
                            </w:r>
                            <w:r>
                              <w:rPr>
                                <w:b/>
                                <w:i w:val="0"/>
                                <w:color w:val="000000" w:themeColor="text1"/>
                                <w:sz w:val="22"/>
                                <w:szCs w:val="22"/>
                              </w:rPr>
                              <w:t>1</w:t>
                            </w:r>
                            <w:r w:rsidRPr="00223D2E">
                              <w:rPr>
                                <w:b/>
                                <w:i w:val="0"/>
                                <w:color w:val="000000" w:themeColor="text1"/>
                                <w:sz w:val="22"/>
                                <w:szCs w:val="22"/>
                              </w:rPr>
                              <w:t>. Read depth-based identification of copy number variation by CNVnator.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1B858D8" id="_x0000_t202" coordsize="21600,21600" o:spt="202" path="m,l,21600r21600,l21600,xe">
                <v:stroke joinstyle="miter"/>
                <v:path gradientshapeok="t" o:connecttype="rect"/>
              </v:shapetype>
              <v:shape id="Text Box 9" o:spid="_x0000_s1026" type="#_x0000_t202" style="position:absolute;margin-left:0;margin-top:146.2pt;width:245.25pt;height:.0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" stroked="f">
                <v:textbox style="mso-fit-shape-to-text:t" inset="0,0,0,0">
                  <w:txbxContent>
                    <w:p w:rsidR="00AB37F5" w:rsidRPr="00223D2E" w:rsidRDefault="00AB37F5" w:rsidP="00FF3153">
                      <w:pPr>
                        <w:pStyle w:val="Caption"/>
                        <w:rPr>
                          <w:b/>
                          <w:noProof/>
                          <w:color w:val="000000" w:themeColor="text1"/>
                          <w:sz w:val="22"/>
                        </w:rPr>
                      </w:pPr>
                      <w:r w:rsidRPr="00223D2E">
                        <w:rPr>
                          <w:b/>
                          <w:i w:val="0"/>
                          <w:color w:val="000000" w:themeColor="text1"/>
                          <w:sz w:val="22"/>
                          <w:szCs w:val="22"/>
                        </w:rPr>
                        <w:t xml:space="preserve">Fig </w:t>
                      </w:r>
                      <w:r>
                        <w:rPr>
                          <w:b/>
                          <w:i w:val="0"/>
                          <w:color w:val="000000" w:themeColor="text1"/>
                          <w:sz w:val="22"/>
                          <w:szCs w:val="22"/>
                        </w:rPr>
                        <w:t>1</w:t>
                      </w:r>
                      <w:r w:rsidRPr="00223D2E">
                        <w:rPr>
                          <w:b/>
                          <w:i w:val="0"/>
                          <w:color w:val="000000" w:themeColor="text1"/>
                          <w:sz w:val="22"/>
                          <w:szCs w:val="22"/>
                        </w:rPr>
                        <w:t xml:space="preserve">. Read depth-based identification of copy number variation by </w:t>
                      </w:r>
                      <w:proofErr w:type="spellStart"/>
                      <w:r w:rsidRPr="00223D2E">
                        <w:rPr>
                          <w:b/>
                          <w:i w:val="0"/>
                          <w:color w:val="000000" w:themeColor="text1"/>
                          <w:sz w:val="22"/>
                          <w:szCs w:val="22"/>
                        </w:rPr>
                        <w:t>CNVnator</w:t>
                      </w:r>
                      <w:proofErr w:type="spellEnd"/>
                      <w:r w:rsidRPr="00223D2E">
                        <w:rPr>
                          <w:b/>
                          <w:i w:val="0"/>
                          <w:color w:val="000000" w:themeColor="text1"/>
                          <w:sz w:val="22"/>
                          <w:szCs w:val="22"/>
                        </w:rPr>
                        <w:t>.</w:t>
                      </w:r>
                    </w:p>
                  </w:txbxContent>
                </v:textbox>
                <w10:wrap type="square" anchorx="margin"/>
              </v:shape>
            </w:pict>
          </mc:Fallback>
        </mc:AlternateContent>
      </w:r>
      <w:r w:rsidRPr="00AB37F5">
        <w:rPr>
          <w:rFonts w:ascii="Times New Roman" w:hAnsi="Times New Roman" w:cs="Times New Roman"/>
          <w:b/>
          <w:noProof/>
        </w:rPr>
        <w:drawing>
          <wp:anchor distT="0" distB="0" distL="114300" distR="114300" simplePos="0" relativeHeight="251660288" behindDoc="0" locked="0" layoutInCell="1" allowOverlap="1" wp14:anchorId="0CA7AB92" wp14:editId="176DC114">
            <wp:simplePos x="0" y="0"/>
            <wp:positionH relativeFrom="margin">
              <wp:align>left</wp:align>
            </wp:positionH>
            <wp:positionV relativeFrom="paragraph">
              <wp:posOffset>44450</wp:posOffset>
            </wp:positionV>
            <wp:extent cx="3114675" cy="1842135"/>
            <wp:effectExtent l="0" t="0" r="9525" b="5715"/>
            <wp:wrapSquare wrapText="bothSides"/>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3114675" cy="1842135"/>
                    </a:xfrm>
                    <a:prstGeom prst="rect">
                      <a:avLst/>
                    </a:prstGeom>
                    <a:ln/>
                  </pic:spPr>
                </pic:pic>
              </a:graphicData>
            </a:graphic>
            <wp14:sizeRelH relativeFrom="margin">
              <wp14:pctWidth>0</wp14:pctWidth>
            </wp14:sizeRelH>
            <wp14:sizeRelV relativeFrom="margin">
              <wp14:pctHeight>0</wp14:pctHeight>
            </wp14:sizeRelV>
          </wp:anchor>
        </w:drawing>
      </w:r>
      <w:r w:rsidRPr="00AB37F5">
        <w:rPr>
          <w:rFonts w:ascii="Times New Roman" w:hAnsi="Times New Roman" w:cs="Times New Roman"/>
        </w:rPr>
        <w:t>Structural variations are important contributors to human polymorphism, have great functional impact and are often implicated in diseases including cancer. We have developed a number of SV calling algorithms, including BreakSeq which compares raw reads with a breakpoint library (junction mapping)</w:t>
      </w:r>
      <w:r w:rsidRPr="00AB37F5">
        <w:rPr>
          <w:rFonts w:ascii="Times New Roman" w:eastAsia="Times New Roman" w:hAnsi="Times New Roman" w:cs="Times New Roman"/>
          <w:noProof/>
          <w:color w:val="000000"/>
        </w:rPr>
        <w:t>[10]</w:t>
      </w:r>
      <w:r w:rsidRPr="00AB37F5">
        <w:rPr>
          <w:rFonts w:ascii="Times New Roman" w:hAnsi="Times New Roman" w:cs="Times New Roman"/>
        </w:rPr>
        <w:t>, CNVnator (Fig 1)</w:t>
      </w:r>
      <w:r w:rsidRPr="00AB37F5">
        <w:rPr>
          <w:rFonts w:ascii="Times New Roman" w:hAnsi="Times New Roman" w:cs="Times New Roman"/>
          <w:color w:val="000000"/>
        </w:rPr>
        <w:t xml:space="preserve"> </w:t>
      </w:r>
      <w:r w:rsidRPr="00AB37F5">
        <w:rPr>
          <w:rFonts w:ascii="Times New Roman" w:hAnsi="Times New Roman" w:cs="Times New Roman"/>
        </w:rPr>
        <w:t>which measures read depth</w:t>
      </w:r>
      <w:r w:rsidRPr="00AB37F5">
        <w:rPr>
          <w:rFonts w:ascii="Times New Roman" w:eastAsia="Times New Roman" w:hAnsi="Times New Roman" w:cs="Times New Roman"/>
          <w:noProof/>
          <w:color w:val="000000"/>
        </w:rPr>
        <w:t>[11]</w:t>
      </w:r>
      <w:r w:rsidRPr="00AB37F5">
        <w:rPr>
          <w:rFonts w:ascii="Times New Roman" w:hAnsi="Times New Roman" w:cs="Times New Roman"/>
        </w:rPr>
        <w:t>, AGE which refines local alignment</w:t>
      </w:r>
      <w:r w:rsidRPr="00AB37F5">
        <w:rPr>
          <w:rFonts w:ascii="Times New Roman" w:eastAsia="Times New Roman" w:hAnsi="Times New Roman" w:cs="Times New Roman"/>
          <w:noProof/>
          <w:color w:val="000000"/>
        </w:rPr>
        <w:t>[12]</w:t>
      </w:r>
      <w:r w:rsidRPr="00AB37F5">
        <w:rPr>
          <w:rFonts w:ascii="Times New Roman" w:hAnsi="Times New Roman" w:cs="Times New Roman"/>
        </w:rPr>
        <w:t>, and PEMer which uses paired end reads</w:t>
      </w:r>
      <w:r w:rsidRPr="00AB37F5">
        <w:rPr>
          <w:rFonts w:ascii="Times New Roman" w:eastAsia="Times New Roman" w:hAnsi="Times New Roman" w:cs="Times New Roman"/>
          <w:noProof/>
          <w:color w:val="000000"/>
        </w:rPr>
        <w:t>[13]</w:t>
      </w:r>
      <w:r w:rsidRPr="00AB37F5">
        <w:rPr>
          <w:rFonts w:ascii="Times New Roman" w:hAnsi="Times New Roman" w:cs="Times New Roman"/>
        </w:rPr>
        <w:t>. We have also developed array-based approaches</w:t>
      </w:r>
      <w:r w:rsidRPr="00AB37F5">
        <w:rPr>
          <w:rFonts w:ascii="Times New Roman" w:eastAsia="Times New Roman" w:hAnsi="Times New Roman" w:cs="Times New Roman"/>
          <w:noProof/>
          <w:color w:val="000000"/>
        </w:rPr>
        <w:t>[14]</w:t>
      </w:r>
      <w:r w:rsidRPr="00AB37F5">
        <w:rPr>
          <w:rFonts w:ascii="Times New Roman" w:hAnsi="Times New Roman" w:cs="Times New Roman"/>
        </w:rPr>
        <w:t xml:space="preserve"> and a sequencing-based Bayesian model</w:t>
      </w:r>
      <w:r w:rsidRPr="00AB37F5">
        <w:rPr>
          <w:rFonts w:ascii="Times New Roman" w:eastAsia="Times New Roman" w:hAnsi="Times New Roman" w:cs="Times New Roman"/>
          <w:noProof/>
          <w:color w:val="000000"/>
        </w:rPr>
        <w:t>[15]</w:t>
      </w:r>
      <w:r w:rsidRPr="00AB37F5">
        <w:rPr>
          <w:rFonts w:ascii="Times New Roman" w:hAnsi="Times New Roman" w:cs="Times New Roman"/>
        </w:rPr>
        <w:t>. Furthermore, we have studied the distinct features of SVs that originate from different mechanisms and showed how creation processes may have potentially divergent functional impacts</w:t>
      </w:r>
      <w:r w:rsidRPr="00AB37F5">
        <w:rPr>
          <w:rFonts w:ascii="Times New Roman" w:eastAsia="Times New Roman" w:hAnsi="Times New Roman" w:cs="Times New Roman"/>
          <w:noProof/>
          <w:color w:val="000000"/>
        </w:rPr>
        <w:t>[16, 17]</w:t>
      </w:r>
      <w:r w:rsidRPr="00AB37F5">
        <w:rPr>
          <w:rFonts w:ascii="Times New Roman" w:hAnsi="Times New Roman" w:cs="Times New Roman"/>
        </w:rPr>
        <w:t>.</w:t>
      </w:r>
    </w:p>
    <w:p w:rsidR="00AB37F5" w:rsidRPr="00AB37F5" w:rsidRDefault="00AB37F5" w:rsidP="00FF3153">
      <w:pPr>
        <w:jc w:val="both"/>
        <w:rPr>
          <w:rFonts w:ascii="Times New Roman" w:hAnsi="Times New Roman" w:cs="Times New Roman"/>
        </w:rPr>
      </w:pPr>
    </w:p>
    <w:p w:rsidR="00AB37F5" w:rsidRPr="00AB37F5" w:rsidRDefault="00AB37F5" w:rsidP="00FF3153">
      <w:pPr>
        <w:jc w:val="both"/>
        <w:rPr>
          <w:rFonts w:ascii="Times New Roman" w:hAnsi="Times New Roman" w:cs="Times New Roman"/>
        </w:rPr>
      </w:pPr>
    </w:p>
    <w:p w:rsidR="00AB37F5" w:rsidRPr="00AB37F5" w:rsidRDefault="00AB37F5" w:rsidP="00FF3153">
      <w:pPr>
        <w:jc w:val="both"/>
        <w:rPr>
          <w:rFonts w:ascii="Times New Roman" w:hAnsi="Times New Roman" w:cs="Times New Roman"/>
          <w:b/>
        </w:rPr>
      </w:pPr>
      <w:r w:rsidRPr="00AB37F5">
        <w:rPr>
          <w:rFonts w:ascii="Times New Roman" w:hAnsi="Times New Roman" w:cs="Times New Roman"/>
          <w:b/>
        </w:rPr>
        <w:lastRenderedPageBreak/>
        <w:t>Experience in building personal genomes and performing allelic calculations</w:t>
      </w:r>
    </w:p>
    <w:p w:rsidR="00AB37F5" w:rsidRPr="00AB37F5" w:rsidRDefault="00AB37F5" w:rsidP="00FF3153">
      <w:pPr>
        <w:jc w:val="both"/>
        <w:rPr>
          <w:rFonts w:ascii="Times New Roman" w:hAnsi="Times New Roman" w:cs="Times New Roman"/>
        </w:rPr>
      </w:pPr>
      <w:r w:rsidRPr="00AB37F5">
        <w:rPr>
          <w:rFonts w:ascii="Times New Roman" w:hAnsi="Times New Roman" w:cs="Times New Roman"/>
          <w:noProof/>
          <w:highlight w:val="white"/>
        </w:rPr>
        <w:drawing>
          <wp:anchor distT="0" distB="0" distL="114300" distR="114300" simplePos="0" relativeHeight="251659264" behindDoc="1" locked="0" layoutInCell="1" allowOverlap="1" wp14:anchorId="3FC6806A" wp14:editId="3D39318F">
            <wp:simplePos x="0" y="0"/>
            <wp:positionH relativeFrom="column">
              <wp:posOffset>-68580</wp:posOffset>
            </wp:positionH>
            <wp:positionV relativeFrom="paragraph">
              <wp:posOffset>1105535</wp:posOffset>
            </wp:positionV>
            <wp:extent cx="2385060" cy="982980"/>
            <wp:effectExtent l="0" t="0" r="0" b="7620"/>
            <wp:wrapSquare wrapText="bothSides"/>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385060" cy="982980"/>
                    </a:xfrm>
                    <a:prstGeom prst="rect">
                      <a:avLst/>
                    </a:prstGeom>
                    <a:ln/>
                  </pic:spPr>
                </pic:pic>
              </a:graphicData>
            </a:graphic>
            <wp14:sizeRelH relativeFrom="margin">
              <wp14:pctWidth>0</wp14:pctWidth>
            </wp14:sizeRelH>
            <wp14:sizeRelV relativeFrom="margin">
              <wp14:pctHeight>0</wp14:pctHeight>
            </wp14:sizeRelV>
          </wp:anchor>
        </w:drawing>
      </w:r>
      <w:r w:rsidRPr="00AB37F5">
        <w:rPr>
          <w:rFonts w:ascii="Times New Roman" w:hAnsi="Times New Roman" w:cs="Times New Roman"/>
        </w:rPr>
        <w:t xml:space="preserve">The alignment of assay reads is one of the main steps in processing functional genomic datasets. Conventionally, reads are aligned to the human reference genome. However, a systematic reference bias is introduced when reads are mapped to this haploid human reference sequence since reads that harbor an alternate allele are less likely to be aligned. In addition, reads can be improperly mapped to the reference genome in regions (or samples) with more genetic variation, especially when indels and larger structural variants are involved. This reduced mappability impairs estimation of read abundance and therefore compromises variant calling and any downstream analyses. </w:t>
      </w:r>
    </w:p>
    <w:p w:rsidR="00AB37F5" w:rsidRPr="00AB37F5" w:rsidRDefault="00AB37F5" w:rsidP="00FF3153">
      <w:pPr>
        <w:jc w:val="both"/>
        <w:rPr>
          <w:rFonts w:ascii="Times New Roman" w:hAnsi="Times New Roman" w:cs="Times New Roman"/>
        </w:rPr>
      </w:pPr>
    </w:p>
    <w:p w:rsidR="00AB37F5" w:rsidRPr="00AB37F5" w:rsidRDefault="00AB37F5" w:rsidP="00FF3153">
      <w:pPr>
        <w:jc w:val="both"/>
        <w:rPr>
          <w:rFonts w:ascii="Times New Roman" w:hAnsi="Times New Roman" w:cs="Times New Roman"/>
        </w:rPr>
      </w:pPr>
      <w:r w:rsidRPr="00AB37F5">
        <w:rPr>
          <w:rFonts w:ascii="Times New Roman" w:hAnsi="Times New Roman" w:cs="Times New Roman"/>
          <w:b/>
        </w:rPr>
        <w:t>Fig. 2.</w:t>
      </w:r>
      <w:r w:rsidRPr="00AB37F5">
        <w:rPr>
          <w:rFonts w:ascii="Times New Roman" w:hAnsi="Times New Roman" w:cs="Times New Roman"/>
        </w:rPr>
        <w:t xml:space="preserve"> Personal genome construction. Each haplotype in the diploid personal genome is derived by incorporating phased variants (SNVs, indels and SVs) into the human reference genome. The coordinates can be mapped back to the human reference coordinates to facilitate comparisons with other reference-based resources, such as gene annotations.</w:t>
      </w:r>
    </w:p>
    <w:p w:rsidR="00AB37F5" w:rsidRPr="00AB37F5" w:rsidRDefault="00AB37F5" w:rsidP="00FF3153">
      <w:pPr>
        <w:jc w:val="both"/>
        <w:rPr>
          <w:rFonts w:ascii="Times New Roman" w:hAnsi="Times New Roman" w:cs="Times New Roman"/>
        </w:rPr>
      </w:pPr>
    </w:p>
    <w:p w:rsidR="00AB37F5" w:rsidRPr="00AB37F5" w:rsidRDefault="00AB37F5" w:rsidP="00FF3153">
      <w:pPr>
        <w:jc w:val="both"/>
        <w:rPr>
          <w:rFonts w:ascii="Times New Roman" w:hAnsi="Times New Roman" w:cs="Times New Roman"/>
        </w:rPr>
      </w:pPr>
      <w:r w:rsidRPr="00AB37F5">
        <w:rPr>
          <w:rFonts w:ascii="Times New Roman" w:hAnsi="Times New Roman" w:cs="Times New Roman"/>
        </w:rPr>
        <w:t>For personal genome construction, we have developed a computational tool, vcf2diploid</w:t>
      </w:r>
      <w:r w:rsidRPr="00AB37F5">
        <w:rPr>
          <w:rFonts w:ascii="Times New Roman" w:hAnsi="Times New Roman" w:cs="Times New Roman"/>
          <w:noProof/>
        </w:rPr>
        <w:t>[18]</w:t>
      </w:r>
      <w:r w:rsidRPr="00AB37F5">
        <w:rPr>
          <w:rFonts w:ascii="Times New Roman" w:hAnsi="Times New Roman" w:cs="Times New Roman"/>
        </w:rPr>
        <w:t>. The tool integrates an individual’s genomic variation data (SNVs, indels, and SVs) into the reference genome (Fig. 2). Phase information of heterozygous variants is also incorporated, producing maternal and paternal haplotypes. Chain files generated by the program can be used to account for coordinate offsets between the individual’s parental haplotypes and the original reference genomic sequence. The versatility to convert between reference and personal genome coordinates allows mapping of genomic annotated regions (e. g. gene or peak coordinates for RNA-seq and ChIP-seq, respectively) between the genomes using available tools, such as the UCSC LiftOver tool</w:t>
      </w:r>
      <w:r w:rsidRPr="00AB37F5">
        <w:rPr>
          <w:rFonts w:ascii="Times New Roman" w:hAnsi="Times New Roman" w:cs="Times New Roman"/>
          <w:noProof/>
        </w:rPr>
        <w:t>[19]</w:t>
      </w:r>
      <w:r w:rsidRPr="00AB37F5">
        <w:rPr>
          <w:rFonts w:ascii="Times New Roman" w:hAnsi="Times New Roman" w:cs="Times New Roman"/>
        </w:rPr>
        <w:t xml:space="preserve">. </w:t>
      </w:r>
    </w:p>
    <w:p w:rsidR="00AB37F5" w:rsidRPr="00AB37F5" w:rsidRDefault="00AB37F5" w:rsidP="00FF3153">
      <w:pPr>
        <w:jc w:val="both"/>
        <w:rPr>
          <w:rFonts w:ascii="Times New Roman" w:hAnsi="Times New Roman" w:cs="Times New Roman"/>
        </w:rPr>
      </w:pPr>
    </w:p>
    <w:p w:rsidR="00AB37F5" w:rsidRPr="00AB37F5" w:rsidRDefault="00AB37F5" w:rsidP="00FF3153">
      <w:pPr>
        <w:jc w:val="both"/>
        <w:rPr>
          <w:rFonts w:ascii="Times New Roman" w:hAnsi="Times New Roman" w:cs="Times New Roman"/>
        </w:rPr>
      </w:pPr>
      <w:r w:rsidRPr="00AB37F5">
        <w:rPr>
          <w:rFonts w:ascii="Times New Roman" w:hAnsi="Times New Roman" w:cs="Times New Roman"/>
        </w:rPr>
        <w:t>We have previously constructed the personal diploid genome, splice-junction libraries and personalized gene annotations for NA12878. We have made this assembly available as a resource at alleleseq.gersteinlab.org and have been updating it as new versions of the human reference genome, genomic annotations, and NA12878 genetic variation data are released. Furthermore, the availability of a computational tool enables the construction of personal genomes in a high-throughput fashion, as demonstrated in a recent publication</w:t>
      </w:r>
      <w:r w:rsidRPr="00AB37F5">
        <w:rPr>
          <w:rFonts w:ascii="Times New Roman" w:hAnsi="Times New Roman" w:cs="Times New Roman"/>
          <w:noProof/>
        </w:rPr>
        <w:t>[20]</w:t>
      </w:r>
      <w:r w:rsidRPr="00AB37F5">
        <w:rPr>
          <w:rFonts w:ascii="Times New Roman" w:hAnsi="Times New Roman" w:cs="Times New Roman"/>
        </w:rPr>
        <w:t xml:space="preserve"> where we built 382 personal genomes using the variant call sets from the 1000 Genomes Project.</w:t>
      </w:r>
    </w:p>
    <w:p w:rsidR="00AB37F5" w:rsidRPr="00AB37F5" w:rsidRDefault="00AB37F5" w:rsidP="00FF3153">
      <w:pPr>
        <w:jc w:val="both"/>
        <w:rPr>
          <w:rFonts w:ascii="Times New Roman" w:hAnsi="Times New Roman" w:cs="Times New Roman"/>
        </w:rPr>
      </w:pPr>
    </w:p>
    <w:p w:rsidR="00AB37F5" w:rsidRPr="00AB37F5" w:rsidRDefault="00AB37F5" w:rsidP="00FF3153">
      <w:pPr>
        <w:jc w:val="both"/>
        <w:rPr>
          <w:rFonts w:ascii="Times New Roman" w:hAnsi="Times New Roman" w:cs="Times New Roman"/>
        </w:rPr>
      </w:pPr>
      <w:r w:rsidRPr="00AB37F5">
        <w:rPr>
          <w:rFonts w:ascii="Times New Roman" w:hAnsi="Times New Roman" w:cs="Times New Roman"/>
        </w:rPr>
        <w:t>Allele-specific analyses are particularly sensitive to these biases. For this purpose, the initial step of our AlleleSeq pipeline</w:t>
      </w:r>
      <w:r w:rsidRPr="00AB37F5">
        <w:rPr>
          <w:rFonts w:ascii="Times New Roman" w:hAnsi="Times New Roman" w:cs="Times New Roman"/>
          <w:noProof/>
        </w:rPr>
        <w:t>[18]</w:t>
      </w:r>
      <w:r w:rsidRPr="00AB37F5">
        <w:rPr>
          <w:rFonts w:ascii="Times New Roman" w:hAnsi="Times New Roman" w:cs="Times New Roman"/>
        </w:rPr>
        <w:t xml:space="preserve"> involves construction of the personal diploid genome. We have spearheaded allele-specific analyses in several major consortia publications, including ENCODE and the 1000 Genomes Project</w:t>
      </w:r>
      <w:r w:rsidRPr="00AB37F5">
        <w:rPr>
          <w:rFonts w:ascii="Times New Roman" w:hAnsi="Times New Roman" w:cs="Times New Roman"/>
          <w:noProof/>
        </w:rPr>
        <w:t>[16, 21, 22]</w:t>
      </w:r>
      <w:r w:rsidRPr="00AB37F5">
        <w:rPr>
          <w:rFonts w:ascii="Times New Roman" w:hAnsi="Times New Roman" w:cs="Times New Roman"/>
        </w:rPr>
        <w:t>. We annotated variants associated with allele-specific expression (ASE) and binding (ASB) in a large pool of individuals from the 1000 Genomes Project. For this analysis</w:t>
      </w:r>
      <w:r w:rsidRPr="00AB37F5">
        <w:rPr>
          <w:rFonts w:ascii="Times New Roman" w:hAnsi="Times New Roman" w:cs="Times New Roman"/>
          <w:noProof/>
        </w:rPr>
        <w:t>[20]</w:t>
      </w:r>
      <w:r w:rsidRPr="00AB37F5">
        <w:rPr>
          <w:rFonts w:ascii="Times New Roman" w:hAnsi="Times New Roman" w:cs="Times New Roman"/>
        </w:rPr>
        <w:t>, we integrated matching functional datasets (955 RNA-seq and 165 ChIP-seq in total), which include ChIP-seq datasets from 14 lymphoblastoid cell lines in ENCODE[23]. Overall, we detected more than 6K and 63K SNVs associated with ASB and ASE, respectively. These results were made available as an online resource, AlleleDB (alleledb.gersteinlab.org). Most recently, we constructed high-resolution map of allelic imbalances in DNA methylation, histone marks, and transcription in 71 epigenomes from 36 distinct cell and tissue types from 13 donors</w:t>
      </w:r>
      <w:r w:rsidRPr="00AB37F5">
        <w:rPr>
          <w:rFonts w:ascii="Times New Roman" w:hAnsi="Times New Roman" w:cs="Times New Roman"/>
          <w:noProof/>
        </w:rPr>
        <w:t>[24]</w:t>
      </w:r>
      <w:r w:rsidRPr="00AB37F5">
        <w:rPr>
          <w:rFonts w:ascii="Times New Roman" w:hAnsi="Times New Roman" w:cs="Times New Roman"/>
        </w:rPr>
        <w:t xml:space="preserve">. </w:t>
      </w:r>
    </w:p>
    <w:p w:rsidR="00AB37F5" w:rsidRPr="00AB37F5" w:rsidRDefault="00AB37F5" w:rsidP="00FF3153">
      <w:pPr>
        <w:rPr>
          <w:rFonts w:ascii="Times New Roman" w:hAnsi="Times New Roman" w:cs="Times New Roman"/>
        </w:rPr>
      </w:pPr>
    </w:p>
    <w:p w:rsidR="00AB37F5" w:rsidRPr="00AB37F5" w:rsidRDefault="00AB37F5" w:rsidP="00FF3153">
      <w:pPr>
        <w:rPr>
          <w:rFonts w:ascii="Times New Roman" w:hAnsi="Times New Roman" w:cs="Times New Roman"/>
        </w:rPr>
      </w:pP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1.</w:t>
      </w:r>
      <w:r w:rsidRPr="00AB37F5">
        <w:rPr>
          <w:rFonts w:ascii="Times New Roman" w:hAnsi="Times New Roman" w:cs="Times New Roman"/>
          <w:noProof/>
        </w:rPr>
        <w:tab/>
        <w:t xml:space="preserve">Zhang, Z., et al., </w:t>
      </w:r>
      <w:r w:rsidRPr="00AB37F5">
        <w:rPr>
          <w:rFonts w:ascii="Times New Roman" w:hAnsi="Times New Roman" w:cs="Times New Roman"/>
          <w:i/>
          <w:noProof/>
        </w:rPr>
        <w:t>PseudoPipe: an automated pseudogene identification pipeline.</w:t>
      </w:r>
      <w:r w:rsidRPr="00AB37F5">
        <w:rPr>
          <w:rFonts w:ascii="Times New Roman" w:hAnsi="Times New Roman" w:cs="Times New Roman"/>
          <w:noProof/>
        </w:rPr>
        <w:t xml:space="preserve"> Bioinformatics, 2006. </w:t>
      </w:r>
      <w:r w:rsidRPr="00AB37F5">
        <w:rPr>
          <w:rFonts w:ascii="Times New Roman" w:hAnsi="Times New Roman" w:cs="Times New Roman"/>
          <w:b/>
          <w:noProof/>
        </w:rPr>
        <w:t>22</w:t>
      </w:r>
      <w:r w:rsidRPr="00AB37F5">
        <w:rPr>
          <w:rFonts w:ascii="Times New Roman" w:hAnsi="Times New Roman" w:cs="Times New Roman"/>
          <w:noProof/>
        </w:rPr>
        <w:t>(12): p. 1437-9.</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2.</w:t>
      </w:r>
      <w:r w:rsidRPr="00AB37F5">
        <w:rPr>
          <w:rFonts w:ascii="Times New Roman" w:hAnsi="Times New Roman" w:cs="Times New Roman"/>
          <w:noProof/>
        </w:rPr>
        <w:tab/>
        <w:t xml:space="preserve">Zheng, D. and M.B. Gerstein, </w:t>
      </w:r>
      <w:r w:rsidRPr="00AB37F5">
        <w:rPr>
          <w:rFonts w:ascii="Times New Roman" w:hAnsi="Times New Roman" w:cs="Times New Roman"/>
          <w:i/>
          <w:noProof/>
        </w:rPr>
        <w:t>A computational approach for identifying pseudogenes in the ENCODE regions.</w:t>
      </w:r>
      <w:r w:rsidRPr="00AB37F5">
        <w:rPr>
          <w:rFonts w:ascii="Times New Roman" w:hAnsi="Times New Roman" w:cs="Times New Roman"/>
          <w:noProof/>
        </w:rPr>
        <w:t xml:space="preserve"> Genome Biol, 2006. </w:t>
      </w:r>
      <w:r w:rsidRPr="00AB37F5">
        <w:rPr>
          <w:rFonts w:ascii="Times New Roman" w:hAnsi="Times New Roman" w:cs="Times New Roman"/>
          <w:b/>
          <w:noProof/>
        </w:rPr>
        <w:t>7 Suppl 1</w:t>
      </w:r>
      <w:r w:rsidRPr="00AB37F5">
        <w:rPr>
          <w:rFonts w:ascii="Times New Roman" w:hAnsi="Times New Roman" w:cs="Times New Roman"/>
          <w:noProof/>
        </w:rPr>
        <w:t>: p. S13.1-10.</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3.</w:t>
      </w:r>
      <w:r w:rsidRPr="00AB37F5">
        <w:rPr>
          <w:rFonts w:ascii="Times New Roman" w:hAnsi="Times New Roman" w:cs="Times New Roman"/>
          <w:noProof/>
        </w:rPr>
        <w:tab/>
        <w:t xml:space="preserve">Navarro, F.C. and P.A. Galante, </w:t>
      </w:r>
      <w:r w:rsidRPr="00AB37F5">
        <w:rPr>
          <w:rFonts w:ascii="Times New Roman" w:hAnsi="Times New Roman" w:cs="Times New Roman"/>
          <w:i/>
          <w:noProof/>
        </w:rPr>
        <w:t>RCPedia: a database of retrocopied genes.</w:t>
      </w:r>
      <w:r w:rsidRPr="00AB37F5">
        <w:rPr>
          <w:rFonts w:ascii="Times New Roman" w:hAnsi="Times New Roman" w:cs="Times New Roman"/>
          <w:noProof/>
        </w:rPr>
        <w:t xml:space="preserve"> Bioinformatics, 2013. </w:t>
      </w:r>
      <w:r w:rsidRPr="00AB37F5">
        <w:rPr>
          <w:rFonts w:ascii="Times New Roman" w:hAnsi="Times New Roman" w:cs="Times New Roman"/>
          <w:b/>
          <w:noProof/>
        </w:rPr>
        <w:t>29</w:t>
      </w:r>
      <w:r w:rsidRPr="00AB37F5">
        <w:rPr>
          <w:rFonts w:ascii="Times New Roman" w:hAnsi="Times New Roman" w:cs="Times New Roman"/>
          <w:noProof/>
        </w:rPr>
        <w:t>(9): p. 1235-7.</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4.</w:t>
      </w:r>
      <w:r w:rsidRPr="00AB37F5">
        <w:rPr>
          <w:rFonts w:ascii="Times New Roman" w:hAnsi="Times New Roman" w:cs="Times New Roman"/>
          <w:noProof/>
        </w:rPr>
        <w:tab/>
        <w:t xml:space="preserve">Sudmant, P.H., et al., </w:t>
      </w:r>
      <w:r w:rsidRPr="00AB37F5">
        <w:rPr>
          <w:rFonts w:ascii="Times New Roman" w:hAnsi="Times New Roman" w:cs="Times New Roman"/>
          <w:i/>
          <w:noProof/>
        </w:rPr>
        <w:t>An integrated map of structural variation in 2,504 human genomes.</w:t>
      </w:r>
      <w:r w:rsidRPr="00AB37F5">
        <w:rPr>
          <w:rFonts w:ascii="Times New Roman" w:hAnsi="Times New Roman" w:cs="Times New Roman"/>
          <w:noProof/>
        </w:rPr>
        <w:t xml:space="preserve"> Nature, 2015. </w:t>
      </w:r>
      <w:r w:rsidRPr="00AB37F5">
        <w:rPr>
          <w:rFonts w:ascii="Times New Roman" w:hAnsi="Times New Roman" w:cs="Times New Roman"/>
          <w:b/>
          <w:noProof/>
        </w:rPr>
        <w:t>526</w:t>
      </w:r>
      <w:r w:rsidRPr="00AB37F5">
        <w:rPr>
          <w:rFonts w:ascii="Times New Roman" w:hAnsi="Times New Roman" w:cs="Times New Roman"/>
          <w:noProof/>
        </w:rPr>
        <w:t>(7571): p. 75-81.</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5.</w:t>
      </w:r>
      <w:r w:rsidRPr="00AB37F5">
        <w:rPr>
          <w:rFonts w:ascii="Times New Roman" w:hAnsi="Times New Roman" w:cs="Times New Roman"/>
          <w:noProof/>
        </w:rPr>
        <w:tab/>
        <w:t xml:space="preserve">Abyzov, A., et al., </w:t>
      </w:r>
      <w:r w:rsidRPr="00AB37F5">
        <w:rPr>
          <w:rFonts w:ascii="Times New Roman" w:hAnsi="Times New Roman" w:cs="Times New Roman"/>
          <w:i/>
          <w:noProof/>
        </w:rPr>
        <w:t>Analysis of variable retroduplications in human populations suggests coupling of retrotransposition to cell division.</w:t>
      </w:r>
      <w:r w:rsidRPr="00AB37F5">
        <w:rPr>
          <w:rFonts w:ascii="Times New Roman" w:hAnsi="Times New Roman" w:cs="Times New Roman"/>
          <w:noProof/>
        </w:rPr>
        <w:t xml:space="preserve"> Genome Res, 2013. </w:t>
      </w:r>
      <w:r w:rsidRPr="00AB37F5">
        <w:rPr>
          <w:rFonts w:ascii="Times New Roman" w:hAnsi="Times New Roman" w:cs="Times New Roman"/>
          <w:b/>
          <w:noProof/>
        </w:rPr>
        <w:t>23</w:t>
      </w:r>
      <w:r w:rsidRPr="00AB37F5">
        <w:rPr>
          <w:rFonts w:ascii="Times New Roman" w:hAnsi="Times New Roman" w:cs="Times New Roman"/>
          <w:noProof/>
        </w:rPr>
        <w:t>(12): p. 2042-52.</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6.</w:t>
      </w:r>
      <w:r w:rsidRPr="00AB37F5">
        <w:rPr>
          <w:rFonts w:ascii="Times New Roman" w:hAnsi="Times New Roman" w:cs="Times New Roman"/>
          <w:noProof/>
        </w:rPr>
        <w:tab/>
        <w:t xml:space="preserve">Balasubramanian, S., et al., </w:t>
      </w:r>
      <w:r w:rsidRPr="00AB37F5">
        <w:rPr>
          <w:rFonts w:ascii="Times New Roman" w:hAnsi="Times New Roman" w:cs="Times New Roman"/>
          <w:i/>
          <w:noProof/>
        </w:rPr>
        <w:t>Gene inactivation and its implications for annotation in the era of personal genomics.</w:t>
      </w:r>
      <w:r w:rsidRPr="00AB37F5">
        <w:rPr>
          <w:rFonts w:ascii="Times New Roman" w:hAnsi="Times New Roman" w:cs="Times New Roman"/>
          <w:noProof/>
        </w:rPr>
        <w:t xml:space="preserve"> Genes Dev, 2011. </w:t>
      </w:r>
      <w:r w:rsidRPr="00AB37F5">
        <w:rPr>
          <w:rFonts w:ascii="Times New Roman" w:hAnsi="Times New Roman" w:cs="Times New Roman"/>
          <w:b/>
          <w:noProof/>
        </w:rPr>
        <w:t>25</w:t>
      </w:r>
      <w:r w:rsidRPr="00AB37F5">
        <w:rPr>
          <w:rFonts w:ascii="Times New Roman" w:hAnsi="Times New Roman" w:cs="Times New Roman"/>
          <w:noProof/>
        </w:rPr>
        <w:t>(1): p. 1-10.</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7.</w:t>
      </w:r>
      <w:r w:rsidRPr="00AB37F5">
        <w:rPr>
          <w:rFonts w:ascii="Times New Roman" w:hAnsi="Times New Roman" w:cs="Times New Roman"/>
          <w:noProof/>
        </w:rPr>
        <w:tab/>
        <w:t xml:space="preserve">Mills, R.E., et al., </w:t>
      </w:r>
      <w:r w:rsidRPr="00AB37F5">
        <w:rPr>
          <w:rFonts w:ascii="Times New Roman" w:hAnsi="Times New Roman" w:cs="Times New Roman"/>
          <w:i/>
          <w:noProof/>
        </w:rPr>
        <w:t>Mapping copy number variation by population-scale genome sequencing.</w:t>
      </w:r>
      <w:r w:rsidRPr="00AB37F5">
        <w:rPr>
          <w:rFonts w:ascii="Times New Roman" w:hAnsi="Times New Roman" w:cs="Times New Roman"/>
          <w:noProof/>
        </w:rPr>
        <w:t xml:space="preserve"> Nature, 2011. </w:t>
      </w:r>
      <w:r w:rsidRPr="00AB37F5">
        <w:rPr>
          <w:rFonts w:ascii="Times New Roman" w:hAnsi="Times New Roman" w:cs="Times New Roman"/>
          <w:b/>
          <w:noProof/>
        </w:rPr>
        <w:t>470</w:t>
      </w:r>
      <w:r w:rsidRPr="00AB37F5">
        <w:rPr>
          <w:rFonts w:ascii="Times New Roman" w:hAnsi="Times New Roman" w:cs="Times New Roman"/>
          <w:noProof/>
        </w:rPr>
        <w:t>(7332): p. 59-65.</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8.</w:t>
      </w:r>
      <w:r w:rsidRPr="00AB37F5">
        <w:rPr>
          <w:rFonts w:ascii="Times New Roman" w:hAnsi="Times New Roman" w:cs="Times New Roman"/>
          <w:noProof/>
        </w:rPr>
        <w:tab/>
        <w:t xml:space="preserve">Abecasis, G.R., et al., </w:t>
      </w:r>
      <w:r w:rsidRPr="00AB37F5">
        <w:rPr>
          <w:rFonts w:ascii="Times New Roman" w:hAnsi="Times New Roman" w:cs="Times New Roman"/>
          <w:i/>
          <w:noProof/>
        </w:rPr>
        <w:t>A map of human genome variation from population-scale sequencing.</w:t>
      </w:r>
      <w:r w:rsidRPr="00AB37F5">
        <w:rPr>
          <w:rFonts w:ascii="Times New Roman" w:hAnsi="Times New Roman" w:cs="Times New Roman"/>
          <w:noProof/>
        </w:rPr>
        <w:t xml:space="preserve"> Nature, 2010. </w:t>
      </w:r>
      <w:r w:rsidRPr="00AB37F5">
        <w:rPr>
          <w:rFonts w:ascii="Times New Roman" w:hAnsi="Times New Roman" w:cs="Times New Roman"/>
          <w:b/>
          <w:noProof/>
        </w:rPr>
        <w:t>467</w:t>
      </w:r>
      <w:r w:rsidRPr="00AB37F5">
        <w:rPr>
          <w:rFonts w:ascii="Times New Roman" w:hAnsi="Times New Roman" w:cs="Times New Roman"/>
          <w:noProof/>
        </w:rPr>
        <w:t>(7319): p. 1061-73.</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9.</w:t>
      </w:r>
      <w:r w:rsidRPr="00AB37F5">
        <w:rPr>
          <w:rFonts w:ascii="Times New Roman" w:hAnsi="Times New Roman" w:cs="Times New Roman"/>
          <w:noProof/>
        </w:rPr>
        <w:tab/>
        <w:t xml:space="preserve">Abecasis, G.R., et al., </w:t>
      </w:r>
      <w:r w:rsidRPr="00AB37F5">
        <w:rPr>
          <w:rFonts w:ascii="Times New Roman" w:hAnsi="Times New Roman" w:cs="Times New Roman"/>
          <w:i/>
          <w:noProof/>
        </w:rPr>
        <w:t>An integrated map of genetic variation from 1,092 human genomes.</w:t>
      </w:r>
      <w:r w:rsidRPr="00AB37F5">
        <w:rPr>
          <w:rFonts w:ascii="Times New Roman" w:hAnsi="Times New Roman" w:cs="Times New Roman"/>
          <w:noProof/>
        </w:rPr>
        <w:t xml:space="preserve"> Nature, 2012. </w:t>
      </w:r>
      <w:r w:rsidRPr="00AB37F5">
        <w:rPr>
          <w:rFonts w:ascii="Times New Roman" w:hAnsi="Times New Roman" w:cs="Times New Roman"/>
          <w:b/>
          <w:noProof/>
        </w:rPr>
        <w:t>491</w:t>
      </w:r>
      <w:r w:rsidRPr="00AB37F5">
        <w:rPr>
          <w:rFonts w:ascii="Times New Roman" w:hAnsi="Times New Roman" w:cs="Times New Roman"/>
          <w:noProof/>
        </w:rPr>
        <w:t>(7422): p. 56-65.</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10.</w:t>
      </w:r>
      <w:r w:rsidRPr="00AB37F5">
        <w:rPr>
          <w:rFonts w:ascii="Times New Roman" w:hAnsi="Times New Roman" w:cs="Times New Roman"/>
          <w:noProof/>
        </w:rPr>
        <w:tab/>
        <w:t xml:space="preserve">Lam, H.Y., et al., </w:t>
      </w:r>
      <w:r w:rsidRPr="00AB37F5">
        <w:rPr>
          <w:rFonts w:ascii="Times New Roman" w:hAnsi="Times New Roman" w:cs="Times New Roman"/>
          <w:i/>
          <w:noProof/>
        </w:rPr>
        <w:t>Nucleotide-resolution analysis of structural variants using BreakSeq and a breakpoint library.</w:t>
      </w:r>
      <w:r w:rsidRPr="00AB37F5">
        <w:rPr>
          <w:rFonts w:ascii="Times New Roman" w:hAnsi="Times New Roman" w:cs="Times New Roman"/>
          <w:noProof/>
        </w:rPr>
        <w:t xml:space="preserve"> Nat Biotechnol, 2010. </w:t>
      </w:r>
      <w:r w:rsidRPr="00AB37F5">
        <w:rPr>
          <w:rFonts w:ascii="Times New Roman" w:hAnsi="Times New Roman" w:cs="Times New Roman"/>
          <w:b/>
          <w:noProof/>
        </w:rPr>
        <w:t>28</w:t>
      </w:r>
      <w:r w:rsidRPr="00AB37F5">
        <w:rPr>
          <w:rFonts w:ascii="Times New Roman" w:hAnsi="Times New Roman" w:cs="Times New Roman"/>
          <w:noProof/>
        </w:rPr>
        <w:t>(1): p. 47-55.</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11.</w:t>
      </w:r>
      <w:r w:rsidRPr="00AB37F5">
        <w:rPr>
          <w:rFonts w:ascii="Times New Roman" w:hAnsi="Times New Roman" w:cs="Times New Roman"/>
          <w:noProof/>
        </w:rPr>
        <w:tab/>
        <w:t xml:space="preserve">Abyzov, A., et al., </w:t>
      </w:r>
      <w:r w:rsidRPr="00AB37F5">
        <w:rPr>
          <w:rFonts w:ascii="Times New Roman" w:hAnsi="Times New Roman" w:cs="Times New Roman"/>
          <w:i/>
          <w:noProof/>
        </w:rPr>
        <w:t>CNVnator: an approach to discover, genotype, and characterize typical and atypical CNVs from family and population genome sequencing.</w:t>
      </w:r>
      <w:r w:rsidRPr="00AB37F5">
        <w:rPr>
          <w:rFonts w:ascii="Times New Roman" w:hAnsi="Times New Roman" w:cs="Times New Roman"/>
          <w:noProof/>
        </w:rPr>
        <w:t xml:space="preserve"> Genome Res, 2011. </w:t>
      </w:r>
      <w:r w:rsidRPr="00AB37F5">
        <w:rPr>
          <w:rFonts w:ascii="Times New Roman" w:hAnsi="Times New Roman" w:cs="Times New Roman"/>
          <w:b/>
          <w:noProof/>
        </w:rPr>
        <w:t>21</w:t>
      </w:r>
      <w:r w:rsidRPr="00AB37F5">
        <w:rPr>
          <w:rFonts w:ascii="Times New Roman" w:hAnsi="Times New Roman" w:cs="Times New Roman"/>
          <w:noProof/>
        </w:rPr>
        <w:t>(6): p. 974-84.</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12.</w:t>
      </w:r>
      <w:r w:rsidRPr="00AB37F5">
        <w:rPr>
          <w:rFonts w:ascii="Times New Roman" w:hAnsi="Times New Roman" w:cs="Times New Roman"/>
          <w:noProof/>
        </w:rPr>
        <w:tab/>
        <w:t xml:space="preserve">Abyzov, A. and M. Gerstein, </w:t>
      </w:r>
      <w:r w:rsidRPr="00AB37F5">
        <w:rPr>
          <w:rFonts w:ascii="Times New Roman" w:hAnsi="Times New Roman" w:cs="Times New Roman"/>
          <w:i/>
          <w:noProof/>
        </w:rPr>
        <w:t>AGE: defining breakpoints of genomic structural variants at single-nucleotide resolution, through optimal alignments with gap excision.</w:t>
      </w:r>
      <w:r w:rsidRPr="00AB37F5">
        <w:rPr>
          <w:rFonts w:ascii="Times New Roman" w:hAnsi="Times New Roman" w:cs="Times New Roman"/>
          <w:noProof/>
        </w:rPr>
        <w:t xml:space="preserve"> Bioinformatics, 2011. </w:t>
      </w:r>
      <w:r w:rsidRPr="00AB37F5">
        <w:rPr>
          <w:rFonts w:ascii="Times New Roman" w:hAnsi="Times New Roman" w:cs="Times New Roman"/>
          <w:b/>
          <w:noProof/>
        </w:rPr>
        <w:t>27</w:t>
      </w:r>
      <w:r w:rsidRPr="00AB37F5">
        <w:rPr>
          <w:rFonts w:ascii="Times New Roman" w:hAnsi="Times New Roman" w:cs="Times New Roman"/>
          <w:noProof/>
        </w:rPr>
        <w:t>(5): p. 595-603.</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13.</w:t>
      </w:r>
      <w:r w:rsidRPr="00AB37F5">
        <w:rPr>
          <w:rFonts w:ascii="Times New Roman" w:hAnsi="Times New Roman" w:cs="Times New Roman"/>
          <w:noProof/>
        </w:rPr>
        <w:tab/>
        <w:t xml:space="preserve">Korbel, J.O., et al., </w:t>
      </w:r>
      <w:r w:rsidRPr="00AB37F5">
        <w:rPr>
          <w:rFonts w:ascii="Times New Roman" w:hAnsi="Times New Roman" w:cs="Times New Roman"/>
          <w:i/>
          <w:noProof/>
        </w:rPr>
        <w:t>PEMer: a computational framework with simulation-based error models for inferring genomic structural variants from massive paired-end sequencing data.</w:t>
      </w:r>
      <w:r w:rsidRPr="00AB37F5">
        <w:rPr>
          <w:rFonts w:ascii="Times New Roman" w:hAnsi="Times New Roman" w:cs="Times New Roman"/>
          <w:noProof/>
        </w:rPr>
        <w:t xml:space="preserve"> Genome Biol, 2009. </w:t>
      </w:r>
      <w:r w:rsidRPr="00AB37F5">
        <w:rPr>
          <w:rFonts w:ascii="Times New Roman" w:hAnsi="Times New Roman" w:cs="Times New Roman"/>
          <w:b/>
          <w:noProof/>
        </w:rPr>
        <w:t>10</w:t>
      </w:r>
      <w:r w:rsidRPr="00AB37F5">
        <w:rPr>
          <w:rFonts w:ascii="Times New Roman" w:hAnsi="Times New Roman" w:cs="Times New Roman"/>
          <w:noProof/>
        </w:rPr>
        <w:t>(2): p. R23.</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14.</w:t>
      </w:r>
      <w:r w:rsidRPr="00AB37F5">
        <w:rPr>
          <w:rFonts w:ascii="Times New Roman" w:hAnsi="Times New Roman" w:cs="Times New Roman"/>
          <w:noProof/>
        </w:rPr>
        <w:tab/>
        <w:t xml:space="preserve">Wang, L.Y., et al., </w:t>
      </w:r>
      <w:r w:rsidRPr="00AB37F5">
        <w:rPr>
          <w:rFonts w:ascii="Times New Roman" w:hAnsi="Times New Roman" w:cs="Times New Roman"/>
          <w:i/>
          <w:noProof/>
        </w:rPr>
        <w:t>MSB: a mean-shift-based approach for the analysis of structural variation in the genome.</w:t>
      </w:r>
      <w:r w:rsidRPr="00AB37F5">
        <w:rPr>
          <w:rFonts w:ascii="Times New Roman" w:hAnsi="Times New Roman" w:cs="Times New Roman"/>
          <w:noProof/>
        </w:rPr>
        <w:t xml:space="preserve"> Genome Res, 2009. </w:t>
      </w:r>
      <w:r w:rsidRPr="00AB37F5">
        <w:rPr>
          <w:rFonts w:ascii="Times New Roman" w:hAnsi="Times New Roman" w:cs="Times New Roman"/>
          <w:b/>
          <w:noProof/>
        </w:rPr>
        <w:t>19</w:t>
      </w:r>
      <w:r w:rsidRPr="00AB37F5">
        <w:rPr>
          <w:rFonts w:ascii="Times New Roman" w:hAnsi="Times New Roman" w:cs="Times New Roman"/>
          <w:noProof/>
        </w:rPr>
        <w:t>(1): p. 106-17.</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15.</w:t>
      </w:r>
      <w:r w:rsidRPr="00AB37F5">
        <w:rPr>
          <w:rFonts w:ascii="Times New Roman" w:hAnsi="Times New Roman" w:cs="Times New Roman"/>
          <w:noProof/>
        </w:rPr>
        <w:tab/>
        <w:t xml:space="preserve">Zhang, Z.D. and M.B. Gerstein, </w:t>
      </w:r>
      <w:r w:rsidRPr="00AB37F5">
        <w:rPr>
          <w:rFonts w:ascii="Times New Roman" w:hAnsi="Times New Roman" w:cs="Times New Roman"/>
          <w:i/>
          <w:noProof/>
        </w:rPr>
        <w:t>Detection of copy number variation from array intensity and sequencing read depth using a stepwise Bayesian model.</w:t>
      </w:r>
      <w:r w:rsidRPr="00AB37F5">
        <w:rPr>
          <w:rFonts w:ascii="Times New Roman" w:hAnsi="Times New Roman" w:cs="Times New Roman"/>
          <w:noProof/>
        </w:rPr>
        <w:t xml:space="preserve"> BMC Bioinformatics, 2010. </w:t>
      </w:r>
      <w:r w:rsidRPr="00AB37F5">
        <w:rPr>
          <w:rFonts w:ascii="Times New Roman" w:hAnsi="Times New Roman" w:cs="Times New Roman"/>
          <w:b/>
          <w:noProof/>
        </w:rPr>
        <w:t>11</w:t>
      </w:r>
      <w:r w:rsidRPr="00AB37F5">
        <w:rPr>
          <w:rFonts w:ascii="Times New Roman" w:hAnsi="Times New Roman" w:cs="Times New Roman"/>
          <w:noProof/>
        </w:rPr>
        <w:t>: p. 539.</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16.</w:t>
      </w:r>
      <w:r w:rsidRPr="00AB37F5">
        <w:rPr>
          <w:rFonts w:ascii="Times New Roman" w:hAnsi="Times New Roman" w:cs="Times New Roman"/>
          <w:noProof/>
        </w:rPr>
        <w:tab/>
        <w:t xml:space="preserve">Khurana, E., et al., </w:t>
      </w:r>
      <w:r w:rsidRPr="00AB37F5">
        <w:rPr>
          <w:rFonts w:ascii="Times New Roman" w:hAnsi="Times New Roman" w:cs="Times New Roman"/>
          <w:i/>
          <w:noProof/>
        </w:rPr>
        <w:t>Integrative annotation of variants from 1092 humans: application to cancer genomics.</w:t>
      </w:r>
      <w:r w:rsidRPr="00AB37F5">
        <w:rPr>
          <w:rFonts w:ascii="Times New Roman" w:hAnsi="Times New Roman" w:cs="Times New Roman"/>
          <w:noProof/>
        </w:rPr>
        <w:t xml:space="preserve"> Science, 2013. </w:t>
      </w:r>
      <w:r w:rsidRPr="00AB37F5">
        <w:rPr>
          <w:rFonts w:ascii="Times New Roman" w:hAnsi="Times New Roman" w:cs="Times New Roman"/>
          <w:b/>
          <w:noProof/>
        </w:rPr>
        <w:t>342</w:t>
      </w:r>
      <w:r w:rsidRPr="00AB37F5">
        <w:rPr>
          <w:rFonts w:ascii="Times New Roman" w:hAnsi="Times New Roman" w:cs="Times New Roman"/>
          <w:noProof/>
        </w:rPr>
        <w:t>(6154): p. 1235587.</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17.</w:t>
      </w:r>
      <w:r w:rsidRPr="00AB37F5">
        <w:rPr>
          <w:rFonts w:ascii="Times New Roman" w:hAnsi="Times New Roman" w:cs="Times New Roman"/>
          <w:noProof/>
        </w:rPr>
        <w:tab/>
        <w:t xml:space="preserve">Abyzov, A., et al., </w:t>
      </w:r>
      <w:r w:rsidRPr="00AB37F5">
        <w:rPr>
          <w:rFonts w:ascii="Times New Roman" w:hAnsi="Times New Roman" w:cs="Times New Roman"/>
          <w:i/>
          <w:noProof/>
        </w:rPr>
        <w:t>Analysis of deletion breakpoints from 1,092 humans reveals details of mutation mechanisms.</w:t>
      </w:r>
      <w:r w:rsidRPr="00AB37F5">
        <w:rPr>
          <w:rFonts w:ascii="Times New Roman" w:hAnsi="Times New Roman" w:cs="Times New Roman"/>
          <w:noProof/>
        </w:rPr>
        <w:t xml:space="preserve"> Nat Commun, 2015. </w:t>
      </w:r>
      <w:r w:rsidRPr="00AB37F5">
        <w:rPr>
          <w:rFonts w:ascii="Times New Roman" w:hAnsi="Times New Roman" w:cs="Times New Roman"/>
          <w:b/>
          <w:noProof/>
        </w:rPr>
        <w:t>6</w:t>
      </w:r>
      <w:r w:rsidRPr="00AB37F5">
        <w:rPr>
          <w:rFonts w:ascii="Times New Roman" w:hAnsi="Times New Roman" w:cs="Times New Roman"/>
          <w:noProof/>
        </w:rPr>
        <w:t>: p. 7256.</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18.</w:t>
      </w:r>
      <w:r w:rsidRPr="00AB37F5">
        <w:rPr>
          <w:rFonts w:ascii="Times New Roman" w:hAnsi="Times New Roman" w:cs="Times New Roman"/>
          <w:noProof/>
        </w:rPr>
        <w:tab/>
        <w:t xml:space="preserve">Rozowsky, J., et al., </w:t>
      </w:r>
      <w:r w:rsidRPr="00AB37F5">
        <w:rPr>
          <w:rFonts w:ascii="Times New Roman" w:hAnsi="Times New Roman" w:cs="Times New Roman"/>
          <w:i/>
          <w:noProof/>
        </w:rPr>
        <w:t>AlleleSeq: analysis of allele-specific expression and binding in a network framework.</w:t>
      </w:r>
      <w:r w:rsidRPr="00AB37F5">
        <w:rPr>
          <w:rFonts w:ascii="Times New Roman" w:hAnsi="Times New Roman" w:cs="Times New Roman"/>
          <w:noProof/>
        </w:rPr>
        <w:t xml:space="preserve"> Mol Syst Biol, 2011. </w:t>
      </w:r>
      <w:r w:rsidRPr="00AB37F5">
        <w:rPr>
          <w:rFonts w:ascii="Times New Roman" w:hAnsi="Times New Roman" w:cs="Times New Roman"/>
          <w:b/>
          <w:noProof/>
        </w:rPr>
        <w:t>7</w:t>
      </w:r>
      <w:r w:rsidRPr="00AB37F5">
        <w:rPr>
          <w:rFonts w:ascii="Times New Roman" w:hAnsi="Times New Roman" w:cs="Times New Roman"/>
          <w:noProof/>
        </w:rPr>
        <w:t>: p. 522.</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19.</w:t>
      </w:r>
      <w:r w:rsidRPr="00AB37F5">
        <w:rPr>
          <w:rFonts w:ascii="Times New Roman" w:hAnsi="Times New Roman" w:cs="Times New Roman"/>
          <w:noProof/>
        </w:rPr>
        <w:tab/>
        <w:t xml:space="preserve">Hinrichs, A.S., et al., </w:t>
      </w:r>
      <w:r w:rsidRPr="00AB37F5">
        <w:rPr>
          <w:rFonts w:ascii="Times New Roman" w:hAnsi="Times New Roman" w:cs="Times New Roman"/>
          <w:i/>
          <w:noProof/>
        </w:rPr>
        <w:t>The UCSC Genome Browser Database: update 2006.</w:t>
      </w:r>
      <w:r w:rsidRPr="00AB37F5">
        <w:rPr>
          <w:rFonts w:ascii="Times New Roman" w:hAnsi="Times New Roman" w:cs="Times New Roman"/>
          <w:noProof/>
        </w:rPr>
        <w:t xml:space="preserve"> Nucleic Acids Res, 2006. </w:t>
      </w:r>
      <w:r w:rsidRPr="00AB37F5">
        <w:rPr>
          <w:rFonts w:ascii="Times New Roman" w:hAnsi="Times New Roman" w:cs="Times New Roman"/>
          <w:b/>
          <w:noProof/>
        </w:rPr>
        <w:t>34</w:t>
      </w:r>
      <w:r w:rsidRPr="00AB37F5">
        <w:rPr>
          <w:rFonts w:ascii="Times New Roman" w:hAnsi="Times New Roman" w:cs="Times New Roman"/>
          <w:noProof/>
        </w:rPr>
        <w:t>(Database issue): p. D590-8.</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20.</w:t>
      </w:r>
      <w:r w:rsidRPr="00AB37F5">
        <w:rPr>
          <w:rFonts w:ascii="Times New Roman" w:hAnsi="Times New Roman" w:cs="Times New Roman"/>
          <w:noProof/>
        </w:rPr>
        <w:tab/>
        <w:t xml:space="preserve">Chen, J., et al., </w:t>
      </w:r>
      <w:r w:rsidRPr="00AB37F5">
        <w:rPr>
          <w:rFonts w:ascii="Times New Roman" w:hAnsi="Times New Roman" w:cs="Times New Roman"/>
          <w:i/>
          <w:noProof/>
        </w:rPr>
        <w:t>A uniform survey of allele-specific binding and expression over 1000-Genomes-Project individuals.</w:t>
      </w:r>
      <w:r w:rsidRPr="00AB37F5">
        <w:rPr>
          <w:rFonts w:ascii="Times New Roman" w:hAnsi="Times New Roman" w:cs="Times New Roman"/>
          <w:noProof/>
        </w:rPr>
        <w:t xml:space="preserve"> Nat Commun, 2016. </w:t>
      </w:r>
      <w:r w:rsidRPr="00AB37F5">
        <w:rPr>
          <w:rFonts w:ascii="Times New Roman" w:hAnsi="Times New Roman" w:cs="Times New Roman"/>
          <w:b/>
          <w:noProof/>
        </w:rPr>
        <w:t>7</w:t>
      </w:r>
      <w:r w:rsidRPr="00AB37F5">
        <w:rPr>
          <w:rFonts w:ascii="Times New Roman" w:hAnsi="Times New Roman" w:cs="Times New Roman"/>
          <w:noProof/>
        </w:rPr>
        <w:t>: p. 11101.</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lastRenderedPageBreak/>
        <w:t>21.</w:t>
      </w:r>
      <w:r w:rsidRPr="00AB37F5">
        <w:rPr>
          <w:rFonts w:ascii="Times New Roman" w:hAnsi="Times New Roman" w:cs="Times New Roman"/>
          <w:noProof/>
        </w:rPr>
        <w:tab/>
        <w:t xml:space="preserve">Djebali, S., et al., </w:t>
      </w:r>
      <w:r w:rsidRPr="00AB37F5">
        <w:rPr>
          <w:rFonts w:ascii="Times New Roman" w:hAnsi="Times New Roman" w:cs="Times New Roman"/>
          <w:i/>
          <w:noProof/>
        </w:rPr>
        <w:t>Landscape of transcription in human cells.</w:t>
      </w:r>
      <w:r w:rsidRPr="00AB37F5">
        <w:rPr>
          <w:rFonts w:ascii="Times New Roman" w:hAnsi="Times New Roman" w:cs="Times New Roman"/>
          <w:noProof/>
        </w:rPr>
        <w:t xml:space="preserve"> Nature, 2012. </w:t>
      </w:r>
      <w:r w:rsidRPr="00AB37F5">
        <w:rPr>
          <w:rFonts w:ascii="Times New Roman" w:hAnsi="Times New Roman" w:cs="Times New Roman"/>
          <w:b/>
          <w:noProof/>
        </w:rPr>
        <w:t>489</w:t>
      </w:r>
      <w:r w:rsidRPr="00AB37F5">
        <w:rPr>
          <w:rFonts w:ascii="Times New Roman" w:hAnsi="Times New Roman" w:cs="Times New Roman"/>
          <w:noProof/>
        </w:rPr>
        <w:t>(7414): p. 101-8.</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22.</w:t>
      </w:r>
      <w:r w:rsidRPr="00AB37F5">
        <w:rPr>
          <w:rFonts w:ascii="Times New Roman" w:hAnsi="Times New Roman" w:cs="Times New Roman"/>
          <w:noProof/>
        </w:rPr>
        <w:tab/>
        <w:t xml:space="preserve">Gerstein, M.B., et al., </w:t>
      </w:r>
      <w:r w:rsidRPr="00AB37F5">
        <w:rPr>
          <w:rFonts w:ascii="Times New Roman" w:hAnsi="Times New Roman" w:cs="Times New Roman"/>
          <w:i/>
          <w:noProof/>
        </w:rPr>
        <w:t>Architecture of the human regulatory network derived from ENCODE data.</w:t>
      </w:r>
      <w:r w:rsidRPr="00AB37F5">
        <w:rPr>
          <w:rFonts w:ascii="Times New Roman" w:hAnsi="Times New Roman" w:cs="Times New Roman"/>
          <w:noProof/>
        </w:rPr>
        <w:t xml:space="preserve"> Nature, 2012. </w:t>
      </w:r>
      <w:r w:rsidRPr="00AB37F5">
        <w:rPr>
          <w:rFonts w:ascii="Times New Roman" w:hAnsi="Times New Roman" w:cs="Times New Roman"/>
          <w:b/>
          <w:noProof/>
        </w:rPr>
        <w:t>489</w:t>
      </w:r>
      <w:r w:rsidRPr="00AB37F5">
        <w:rPr>
          <w:rFonts w:ascii="Times New Roman" w:hAnsi="Times New Roman" w:cs="Times New Roman"/>
          <w:noProof/>
        </w:rPr>
        <w:t>(7414): p. 91-100.</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23.</w:t>
      </w:r>
      <w:r w:rsidRPr="00AB37F5">
        <w:rPr>
          <w:rFonts w:ascii="Times New Roman" w:hAnsi="Times New Roman" w:cs="Times New Roman"/>
          <w:noProof/>
        </w:rPr>
        <w:tab/>
      </w:r>
      <w:r w:rsidRPr="00AB37F5">
        <w:rPr>
          <w:rFonts w:ascii="Times New Roman" w:hAnsi="Times New Roman" w:cs="Times New Roman"/>
          <w:i/>
          <w:noProof/>
        </w:rPr>
        <w:t>An integrated encyclopedia of DNA elements in the human genome.</w:t>
      </w:r>
      <w:r w:rsidRPr="00AB37F5">
        <w:rPr>
          <w:rFonts w:ascii="Times New Roman" w:hAnsi="Times New Roman" w:cs="Times New Roman"/>
          <w:noProof/>
        </w:rPr>
        <w:t xml:space="preserve"> Nature, 2012. </w:t>
      </w:r>
      <w:r w:rsidRPr="00AB37F5">
        <w:rPr>
          <w:rFonts w:ascii="Times New Roman" w:hAnsi="Times New Roman" w:cs="Times New Roman"/>
          <w:b/>
          <w:noProof/>
        </w:rPr>
        <w:t>489</w:t>
      </w:r>
      <w:r w:rsidRPr="00AB37F5">
        <w:rPr>
          <w:rFonts w:ascii="Times New Roman" w:hAnsi="Times New Roman" w:cs="Times New Roman"/>
          <w:noProof/>
        </w:rPr>
        <w:t>(7414): p. 57-74.</w:t>
      </w:r>
    </w:p>
    <w:p w:rsidR="00AB37F5" w:rsidRPr="00AB37F5" w:rsidRDefault="00AB37F5" w:rsidP="009F32CF">
      <w:pPr>
        <w:pStyle w:val="EndNoteBibliography"/>
        <w:ind w:left="720" w:hanging="720"/>
        <w:rPr>
          <w:rFonts w:ascii="Times New Roman" w:hAnsi="Times New Roman" w:cs="Times New Roman"/>
          <w:noProof/>
        </w:rPr>
      </w:pPr>
      <w:r w:rsidRPr="00AB37F5">
        <w:rPr>
          <w:rFonts w:ascii="Times New Roman" w:hAnsi="Times New Roman" w:cs="Times New Roman"/>
          <w:noProof/>
        </w:rPr>
        <w:t>24.</w:t>
      </w:r>
      <w:r w:rsidRPr="00AB37F5">
        <w:rPr>
          <w:rFonts w:ascii="Times New Roman" w:hAnsi="Times New Roman" w:cs="Times New Roman"/>
          <w:noProof/>
        </w:rPr>
        <w:tab/>
        <w:t xml:space="preserve">Onuchic, V., et al., </w:t>
      </w:r>
      <w:r w:rsidRPr="00AB37F5">
        <w:rPr>
          <w:rFonts w:ascii="Times New Roman" w:hAnsi="Times New Roman" w:cs="Times New Roman"/>
          <w:i/>
          <w:noProof/>
        </w:rPr>
        <w:t>Allele-specific epigenome maps reveal sequence-dependent stochastic switching at regulatory loci.</w:t>
      </w:r>
      <w:r w:rsidRPr="00AB37F5">
        <w:rPr>
          <w:rFonts w:ascii="Times New Roman" w:hAnsi="Times New Roman" w:cs="Times New Roman"/>
          <w:noProof/>
        </w:rPr>
        <w:t xml:space="preserve"> Science, 2018. </w:t>
      </w:r>
      <w:r w:rsidRPr="00AB37F5">
        <w:rPr>
          <w:rFonts w:ascii="Times New Roman" w:hAnsi="Times New Roman" w:cs="Times New Roman"/>
          <w:b/>
          <w:noProof/>
        </w:rPr>
        <w:t>361</w:t>
      </w:r>
      <w:r w:rsidRPr="00AB37F5">
        <w:rPr>
          <w:rFonts w:ascii="Times New Roman" w:hAnsi="Times New Roman" w:cs="Times New Roman"/>
          <w:noProof/>
        </w:rPr>
        <w:t>(6409).</w:t>
      </w:r>
    </w:p>
    <w:p w:rsidR="00AB37F5" w:rsidRPr="00AB37F5" w:rsidRDefault="00AB37F5" w:rsidP="00FF3153">
      <w:pPr>
        <w:rPr>
          <w:rFonts w:ascii="Times New Roman" w:hAnsi="Times New Roman" w:cs="Times New Roman"/>
        </w:rPr>
      </w:pPr>
    </w:p>
    <w:p w:rsidR="00AE6087" w:rsidRPr="00AB37F5" w:rsidRDefault="00AE6087">
      <w:pPr>
        <w:rPr>
          <w:rFonts w:ascii="Times New Roman" w:hAnsi="Times New Roman" w:cs="Times New Roman"/>
        </w:rPr>
      </w:pPr>
    </w:p>
    <w:sectPr w:rsidR="00AE6087" w:rsidRPr="00AB37F5" w:rsidSect="00324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B37F5"/>
    <w:rsid w:val="000A4FB3"/>
    <w:rsid w:val="002200F6"/>
    <w:rsid w:val="00315884"/>
    <w:rsid w:val="00324DCD"/>
    <w:rsid w:val="00363048"/>
    <w:rsid w:val="00372B3C"/>
    <w:rsid w:val="004E2553"/>
    <w:rsid w:val="00570B0E"/>
    <w:rsid w:val="00AB37F5"/>
    <w:rsid w:val="00AE6087"/>
    <w:rsid w:val="00D9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EDA5F35-053E-3B40-BF6B-57892519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7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7F5"/>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AB37F5"/>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AB37F5"/>
    <w:rPr>
      <w:rFonts w:ascii="Calibri" w:eastAsiaTheme="minorEastAsia" w:hAnsi="Calibri" w:cs="Calibri"/>
    </w:rPr>
  </w:style>
  <w:style w:type="paragraph" w:customStyle="1" w:styleId="EndNoteBibliography">
    <w:name w:val="EndNote Bibliography"/>
    <w:basedOn w:val="Normal"/>
    <w:link w:val="EndNoteBibliographyChar"/>
    <w:rsid w:val="00AB37F5"/>
    <w:rPr>
      <w:rFonts w:ascii="Calibri" w:hAnsi="Calibri" w:cs="Calibri"/>
    </w:rPr>
  </w:style>
  <w:style w:type="character" w:customStyle="1" w:styleId="EndNoteBibliographyChar">
    <w:name w:val="EndNote Bibliography Char"/>
    <w:basedOn w:val="DefaultParagraphFont"/>
    <w:link w:val="EndNoteBibliography"/>
    <w:rsid w:val="00AB37F5"/>
    <w:rPr>
      <w:rFonts w:ascii="Calibri" w:eastAsiaTheme="minorEastAsia" w:hAnsi="Calibri" w:cs="Calibri"/>
    </w:rPr>
  </w:style>
  <w:style w:type="paragraph" w:styleId="Caption">
    <w:name w:val="caption"/>
    <w:basedOn w:val="Normal"/>
    <w:next w:val="Normal"/>
    <w:uiPriority w:val="35"/>
    <w:unhideWhenUsed/>
    <w:qFormat/>
    <w:rsid w:val="00AB37F5"/>
    <w:pPr>
      <w:spacing w:after="200"/>
    </w:pPr>
    <w:rPr>
      <w:rFonts w:ascii="Arial" w:eastAsiaTheme="minorHAnsi" w:hAnsi="Arial"/>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8685</Characters>
  <Application>Microsoft Office Word</Application>
  <DocSecurity>0</DocSecurity>
  <Lines>72</Lines>
  <Paragraphs>20</Paragraphs>
  <ScaleCrop>false</ScaleCrop>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Galeev, Timur</dc:creator>
  <cp:keywords/>
  <dc:description/>
  <cp:lastModifiedBy>Galeev, Timur</cp:lastModifiedBy>
  <cp:revision>2</cp:revision>
  <dcterms:created xsi:type="dcterms:W3CDTF">2019-04-08T02:08:00Z</dcterms:created>
  <dcterms:modified xsi:type="dcterms:W3CDTF">2019-04-08T02:08:00Z</dcterms:modified>
</cp:coreProperties>
</file>